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3F53" w14:textId="0D9B1FE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4733FC">
        <w:rPr>
          <w:rFonts w:ascii="Arial" w:hAnsi="Arial" w:cs="Arial"/>
          <w:b/>
        </w:rPr>
        <w:t>4</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w:t>
      </w:r>
      <w:bookmarkEnd w:id="0"/>
      <w:r w:rsidR="00873284" w:rsidRPr="00873284">
        <w:rPr>
          <w:rFonts w:ascii="Arial" w:hAnsi="Arial" w:cs="Arial"/>
          <w:b/>
          <w:bCs/>
        </w:rPr>
        <w:t>2213745</w:t>
      </w:r>
    </w:p>
    <w:p w14:paraId="1E4B29B2" w14:textId="481D86DF"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4733FC" w:rsidRPr="00B57BD1">
        <w:rPr>
          <w:rFonts w:ascii="Arial" w:eastAsia="宋体" w:hAnsi="Arial" w:cs="Arial"/>
          <w:b/>
          <w:szCs w:val="36"/>
        </w:rPr>
        <w:t xml:space="preserve">August 15 – August 26, </w:t>
      </w:r>
      <w:r w:rsidR="001F3D8E" w:rsidRPr="002F50AA">
        <w:rPr>
          <w:rFonts w:ascii="Arial" w:eastAsia="宋体" w:hAnsi="Arial" w:cs="Arial"/>
          <w:b/>
          <w:szCs w:val="36"/>
        </w:rPr>
        <w:t>2022</w:t>
      </w:r>
    </w:p>
    <w:p w14:paraId="448B63A3" w14:textId="77777777" w:rsidR="00B71217" w:rsidRPr="00967981" w:rsidRDefault="00B71217" w:rsidP="00B71217">
      <w:pPr>
        <w:tabs>
          <w:tab w:val="left" w:pos="1985"/>
        </w:tabs>
        <w:rPr>
          <w:b/>
          <w:sz w:val="22"/>
        </w:rPr>
      </w:pPr>
    </w:p>
    <w:p w14:paraId="327A331E" w14:textId="0C8B3C17"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6A5DC5">
        <w:rPr>
          <w:sz w:val="22"/>
        </w:rPr>
        <w:t>12.5.5</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69E188FD"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E32E2">
        <w:rPr>
          <w:sz w:val="22"/>
        </w:rPr>
        <w:t>Discussion</w:t>
      </w:r>
      <w:r w:rsidR="004733FC">
        <w:rPr>
          <w:sz w:val="22"/>
        </w:rPr>
        <w:t xml:space="preserve"> </w:t>
      </w:r>
      <w:r w:rsidR="004E32E2">
        <w:rPr>
          <w:sz w:val="22"/>
        </w:rPr>
        <w:t>on</w:t>
      </w:r>
      <w:r w:rsidR="004733FC">
        <w:rPr>
          <w:sz w:val="22"/>
        </w:rPr>
        <w:t xml:space="preserve"> RRM</w:t>
      </w:r>
      <w:r w:rsidR="0044491C">
        <w:rPr>
          <w:sz w:val="22"/>
        </w:rPr>
        <w:t xml:space="preserve"> core</w:t>
      </w:r>
      <w:r w:rsidR="004733FC">
        <w:rPr>
          <w:sz w:val="22"/>
        </w:rPr>
        <w:t xml:space="preserve"> requirements for </w:t>
      </w:r>
      <w:r w:rsidR="002A438E">
        <w:rPr>
          <w:sz w:val="22"/>
        </w:rPr>
        <w:t xml:space="preserve">LTE </w:t>
      </w:r>
      <w:r w:rsidR="00326675">
        <w:rPr>
          <w:sz w:val="22"/>
        </w:rPr>
        <w:t>NB-IoT NTN and eMTC NTN</w:t>
      </w:r>
      <w:bookmarkEnd w:id="4"/>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41E9C51" w14:textId="4BECFEE4" w:rsidR="003E3FB4" w:rsidRDefault="001602CC" w:rsidP="00C41455">
      <w:pPr>
        <w:tabs>
          <w:tab w:val="left" w:pos="1134"/>
        </w:tabs>
        <w:spacing w:after="120" w:line="240" w:lineRule="exact"/>
        <w:rPr>
          <w:sz w:val="20"/>
          <w:szCs w:val="20"/>
        </w:rPr>
      </w:pPr>
      <w:r w:rsidRPr="001602CC">
        <w:rPr>
          <w:sz w:val="20"/>
          <w:szCs w:val="20"/>
        </w:rPr>
        <w:t>In RAN</w:t>
      </w:r>
      <w:r w:rsidR="00B27F13">
        <w:rPr>
          <w:sz w:val="20"/>
          <w:szCs w:val="20"/>
        </w:rPr>
        <w:t>#95</w:t>
      </w:r>
      <w:r w:rsidRPr="001602CC">
        <w:rPr>
          <w:sz w:val="20"/>
          <w:szCs w:val="20"/>
        </w:rPr>
        <w:t>-e meeting,</w:t>
      </w:r>
      <w:r w:rsidR="006D2A35">
        <w:rPr>
          <w:sz w:val="20"/>
          <w:szCs w:val="20"/>
        </w:rPr>
        <w:t xml:space="preserve"> the</w:t>
      </w:r>
      <w:r w:rsidR="003E3FB4">
        <w:rPr>
          <w:sz w:val="20"/>
          <w:szCs w:val="20"/>
        </w:rPr>
        <w:t xml:space="preserve"> </w:t>
      </w:r>
      <w:r w:rsidR="001E3FEC">
        <w:rPr>
          <w:sz w:val="20"/>
          <w:szCs w:val="20"/>
        </w:rPr>
        <w:t xml:space="preserve">work item </w:t>
      </w:r>
      <w:r w:rsidR="00C41455">
        <w:rPr>
          <w:sz w:val="20"/>
          <w:szCs w:val="20"/>
        </w:rPr>
        <w:t xml:space="preserve">on </w:t>
      </w:r>
      <w:r w:rsidR="00D00A84" w:rsidRPr="00D00A84">
        <w:rPr>
          <w:sz w:val="20"/>
          <w:szCs w:val="20"/>
        </w:rPr>
        <w:t>NB-IoT/eMTC core &amp; performance requirements for NTN</w:t>
      </w:r>
      <w:r w:rsidR="003E3FB4" w:rsidRPr="003E3FB4">
        <w:rPr>
          <w:sz w:val="20"/>
          <w:szCs w:val="20"/>
        </w:rPr>
        <w:t xml:space="preserve"> </w:t>
      </w:r>
      <w:r w:rsidR="003E3FB4">
        <w:rPr>
          <w:sz w:val="20"/>
          <w:szCs w:val="20"/>
        </w:rPr>
        <w:t>ha</w:t>
      </w:r>
      <w:r w:rsidR="00C41455">
        <w:rPr>
          <w:sz w:val="20"/>
          <w:szCs w:val="20"/>
        </w:rPr>
        <w:t>s</w:t>
      </w:r>
      <w:r w:rsidR="003E3FB4">
        <w:rPr>
          <w:sz w:val="20"/>
          <w:szCs w:val="20"/>
        </w:rPr>
        <w:t xml:space="preserve"> been approved. According to the latest WID</w:t>
      </w:r>
      <w:r w:rsidR="001E3FEC">
        <w:rPr>
          <w:sz w:val="20"/>
          <w:szCs w:val="20"/>
        </w:rPr>
        <w:t xml:space="preserve"> [1]</w:t>
      </w:r>
      <w:r w:rsidR="003E3FB4">
        <w:rPr>
          <w:sz w:val="20"/>
          <w:szCs w:val="20"/>
        </w:rPr>
        <w:t xml:space="preserve">, </w:t>
      </w:r>
      <w:r w:rsidR="001E3FEC">
        <w:rPr>
          <w:sz w:val="20"/>
          <w:szCs w:val="20"/>
        </w:rPr>
        <w:t xml:space="preserve">the </w:t>
      </w:r>
      <w:r w:rsidR="00CC3279">
        <w:rPr>
          <w:sz w:val="20"/>
          <w:szCs w:val="20"/>
        </w:rPr>
        <w:t xml:space="preserve">RRM </w:t>
      </w:r>
      <w:r w:rsidR="00D00A84">
        <w:rPr>
          <w:sz w:val="20"/>
          <w:szCs w:val="20"/>
        </w:rPr>
        <w:t xml:space="preserve">core requirements </w:t>
      </w:r>
      <w:r w:rsidR="00CC3279">
        <w:rPr>
          <w:sz w:val="20"/>
          <w:szCs w:val="20"/>
        </w:rPr>
        <w:t xml:space="preserve">should be </w:t>
      </w:r>
      <w:r w:rsidR="001D064D">
        <w:rPr>
          <w:sz w:val="20"/>
          <w:szCs w:val="20"/>
        </w:rPr>
        <w:t>specified.</w:t>
      </w:r>
      <w:r w:rsidR="00CC3279">
        <w:rPr>
          <w:sz w:val="20"/>
          <w:szCs w:val="20"/>
        </w:rPr>
        <w:t xml:space="preserve"> </w:t>
      </w:r>
      <w:r w:rsidR="001D064D">
        <w:rPr>
          <w:sz w:val="20"/>
          <w:szCs w:val="20"/>
        </w:rPr>
        <w:t>W</w:t>
      </w:r>
      <w:r w:rsidR="00CC3279">
        <w:rPr>
          <w:sz w:val="20"/>
          <w:szCs w:val="20"/>
        </w:rPr>
        <w:t xml:space="preserve">e copy the </w:t>
      </w:r>
      <w:r w:rsidR="00CF1B17">
        <w:rPr>
          <w:sz w:val="20"/>
          <w:szCs w:val="20"/>
        </w:rPr>
        <w:t>o</w:t>
      </w:r>
      <w:r w:rsidR="00CC3279">
        <w:rPr>
          <w:sz w:val="20"/>
          <w:szCs w:val="20"/>
        </w:rPr>
        <w:t xml:space="preserve">bjective as </w:t>
      </w:r>
      <w:r w:rsidR="00C41455">
        <w:rPr>
          <w:sz w:val="20"/>
          <w:szCs w:val="20"/>
        </w:rPr>
        <w:t>below</w:t>
      </w:r>
      <w:r w:rsidR="00CC3279">
        <w:rPr>
          <w:sz w:val="20"/>
          <w:szCs w:val="20"/>
        </w:rPr>
        <w:t xml:space="preserve"> for information:</w:t>
      </w:r>
    </w:p>
    <w:tbl>
      <w:tblPr>
        <w:tblStyle w:val="a8"/>
        <w:tblW w:w="0" w:type="auto"/>
        <w:tblLook w:val="04A0" w:firstRow="1" w:lastRow="0" w:firstColumn="1" w:lastColumn="0" w:noHBand="0" w:noVBand="1"/>
      </w:tblPr>
      <w:tblGrid>
        <w:gridCol w:w="9331"/>
      </w:tblGrid>
      <w:tr w:rsidR="00C41455" w14:paraId="2BBB23A4" w14:textId="77777777" w:rsidTr="00C41455">
        <w:tc>
          <w:tcPr>
            <w:tcW w:w="9331" w:type="dxa"/>
          </w:tcPr>
          <w:p w14:paraId="7B0A82F9" w14:textId="77777777" w:rsidR="00D00A84" w:rsidRPr="00D00A84" w:rsidRDefault="00D00A84" w:rsidP="00D00A84">
            <w:pPr>
              <w:widowControl w:val="0"/>
              <w:numPr>
                <w:ilvl w:val="0"/>
                <w:numId w:val="20"/>
              </w:numPr>
              <w:ind w:left="420"/>
              <w:jc w:val="both"/>
              <w:rPr>
                <w:kern w:val="2"/>
                <w:sz w:val="20"/>
                <w:szCs w:val="20"/>
                <w:lang w:val="en-GB"/>
              </w:rPr>
            </w:pPr>
            <w:r w:rsidRPr="00D00A84">
              <w:rPr>
                <w:kern w:val="2"/>
                <w:sz w:val="20"/>
                <w:szCs w:val="20"/>
                <w:lang w:val="en-GB"/>
              </w:rPr>
              <w:t>The objective of this Work Item is to specify RF and RRM requirements for NB-IoT and eMTC operation over NTN functionality defined in the Rel-17 LTE_NBIOT_eMTC_NTN work item, covering the following aspects:</w:t>
            </w:r>
          </w:p>
          <w:p w14:paraId="5D4F9526" w14:textId="77777777" w:rsidR="00D00A84" w:rsidRPr="00D00A84" w:rsidRDefault="00D00A84" w:rsidP="00D00A84">
            <w:pPr>
              <w:widowControl w:val="0"/>
              <w:numPr>
                <w:ilvl w:val="1"/>
                <w:numId w:val="20"/>
              </w:numPr>
              <w:jc w:val="both"/>
              <w:rPr>
                <w:kern w:val="2"/>
                <w:sz w:val="20"/>
                <w:szCs w:val="20"/>
                <w:lang w:val="en-GB"/>
              </w:rPr>
            </w:pPr>
            <w:r w:rsidRPr="00D00A84">
              <w:rPr>
                <w:kern w:val="2"/>
                <w:sz w:val="20"/>
                <w:szCs w:val="20"/>
                <w:lang w:val="en-GB"/>
              </w:rPr>
              <w:t>Specification of RF requirements for Satellite Access Node (SAN) and UE including the following [RAN4]:</w:t>
            </w:r>
          </w:p>
          <w:p w14:paraId="5119B509" w14:textId="77777777" w:rsidR="00D00A84" w:rsidRPr="00D00A84" w:rsidRDefault="00D00A84" w:rsidP="00D00A84">
            <w:pPr>
              <w:widowControl w:val="0"/>
              <w:numPr>
                <w:ilvl w:val="2"/>
                <w:numId w:val="20"/>
              </w:numPr>
              <w:jc w:val="both"/>
              <w:rPr>
                <w:kern w:val="2"/>
                <w:sz w:val="20"/>
                <w:szCs w:val="20"/>
              </w:rPr>
            </w:pPr>
            <w:r w:rsidRPr="00D00A84">
              <w:rPr>
                <w:kern w:val="2"/>
                <w:sz w:val="20"/>
                <w:szCs w:val="20"/>
              </w:rPr>
              <w:t xml:space="preserve">Specification of a 200 kHz channel raster in bands where this is feasible. </w:t>
            </w:r>
          </w:p>
          <w:p w14:paraId="6242F921" w14:textId="77777777" w:rsidR="00D00A84" w:rsidRPr="00D00A84" w:rsidRDefault="00D00A84" w:rsidP="00D00A84">
            <w:pPr>
              <w:widowControl w:val="0"/>
              <w:numPr>
                <w:ilvl w:val="2"/>
                <w:numId w:val="20"/>
              </w:numPr>
              <w:jc w:val="both"/>
              <w:rPr>
                <w:kern w:val="2"/>
                <w:sz w:val="20"/>
                <w:szCs w:val="20"/>
              </w:rPr>
            </w:pPr>
            <w:r w:rsidRPr="00D00A84">
              <w:rPr>
                <w:kern w:val="2"/>
                <w:sz w:val="20"/>
                <w:szCs w:val="20"/>
              </w:rPr>
              <w:t xml:space="preserve">In bands where it is not feasible to define a 200 kHz channel raster, the specification of a 100 kHz channel raster to be used in conjunction with signalling of the “part-of EARFCN” indication on MIB, with multiple EARFCN hypotheses. </w:t>
            </w:r>
          </w:p>
          <w:p w14:paraId="3E5C3F2E" w14:textId="77777777" w:rsidR="00D00A84" w:rsidRPr="00D00A84" w:rsidRDefault="00D00A84" w:rsidP="00D00A84">
            <w:pPr>
              <w:widowControl w:val="0"/>
              <w:numPr>
                <w:ilvl w:val="2"/>
                <w:numId w:val="20"/>
              </w:numPr>
              <w:jc w:val="both"/>
              <w:rPr>
                <w:kern w:val="2"/>
                <w:sz w:val="20"/>
                <w:szCs w:val="20"/>
              </w:rPr>
            </w:pPr>
            <w:r w:rsidRPr="00D00A84">
              <w:rPr>
                <w:kern w:val="2"/>
                <w:sz w:val="20"/>
                <w:szCs w:val="20"/>
              </w:rPr>
              <w:t>Verification of co-existence of IoT NTN with TN, re-using or extrapolating from existing coexistence results (from NR NTN or other) where appropriate, and considering additional simulations as necessary.</w:t>
            </w:r>
          </w:p>
          <w:p w14:paraId="73F09988" w14:textId="77777777" w:rsidR="00D00A84" w:rsidRPr="00D00A84" w:rsidRDefault="00D00A84" w:rsidP="00D00A84">
            <w:pPr>
              <w:widowControl w:val="0"/>
              <w:numPr>
                <w:ilvl w:val="2"/>
                <w:numId w:val="20"/>
              </w:numPr>
              <w:jc w:val="both"/>
              <w:rPr>
                <w:kern w:val="2"/>
                <w:sz w:val="20"/>
                <w:szCs w:val="20"/>
              </w:rPr>
            </w:pPr>
            <w:r w:rsidRPr="00D00A84">
              <w:rPr>
                <w:kern w:val="2"/>
                <w:sz w:val="20"/>
                <w:szCs w:val="20"/>
              </w:rPr>
              <w:t>Leveraging the studies and requirements (where applicable) of NTN NR bands n256 and n255 (and any relevant E-UTRA bands), specify the following new FDD frequency bands for NB-IoT/eMTC NTN operation:</w:t>
            </w:r>
          </w:p>
          <w:p w14:paraId="703EDDBB" w14:textId="77777777" w:rsidR="00D00A84" w:rsidRPr="00D00A84" w:rsidRDefault="00D00A84" w:rsidP="00D00A84">
            <w:pPr>
              <w:widowControl w:val="0"/>
              <w:numPr>
                <w:ilvl w:val="3"/>
                <w:numId w:val="20"/>
              </w:numPr>
              <w:jc w:val="both"/>
              <w:rPr>
                <w:kern w:val="2"/>
                <w:sz w:val="20"/>
                <w:szCs w:val="20"/>
              </w:rPr>
            </w:pPr>
            <w:r w:rsidRPr="00D00A84">
              <w:rPr>
                <w:kern w:val="2"/>
                <w:sz w:val="20"/>
                <w:szCs w:val="20"/>
              </w:rPr>
              <w:t>S-band (1980-2010 MHz in UL, and 2170-2200 MHz in DL)</w:t>
            </w:r>
          </w:p>
          <w:p w14:paraId="36CD3B5B" w14:textId="77777777" w:rsidR="00D00A84" w:rsidRPr="00D00A84" w:rsidRDefault="00D00A84" w:rsidP="00D00A84">
            <w:pPr>
              <w:widowControl w:val="0"/>
              <w:numPr>
                <w:ilvl w:val="3"/>
                <w:numId w:val="20"/>
              </w:numPr>
              <w:jc w:val="both"/>
              <w:rPr>
                <w:kern w:val="2"/>
                <w:sz w:val="20"/>
                <w:szCs w:val="20"/>
              </w:rPr>
            </w:pPr>
            <w:r w:rsidRPr="00D00A84">
              <w:rPr>
                <w:kern w:val="2"/>
                <w:sz w:val="20"/>
                <w:szCs w:val="20"/>
              </w:rPr>
              <w:t>L band (1626.5 MHz – 1660.5 MHz in UL, and 1525 MHz – 1559 MHz in DL)</w:t>
            </w:r>
          </w:p>
          <w:p w14:paraId="7A6AE59A" w14:textId="77777777" w:rsidR="00D00A84" w:rsidRPr="00D00A84" w:rsidRDefault="00D00A84" w:rsidP="00D00A84">
            <w:pPr>
              <w:widowControl w:val="0"/>
              <w:numPr>
                <w:ilvl w:val="1"/>
                <w:numId w:val="20"/>
              </w:numPr>
              <w:jc w:val="both"/>
              <w:rPr>
                <w:kern w:val="2"/>
                <w:sz w:val="20"/>
                <w:szCs w:val="20"/>
                <w:highlight w:val="yellow"/>
                <w:lang w:val="en-GB"/>
              </w:rPr>
            </w:pPr>
            <w:r w:rsidRPr="00D00A84">
              <w:rPr>
                <w:kern w:val="2"/>
                <w:sz w:val="20"/>
                <w:szCs w:val="20"/>
                <w:highlight w:val="yellow"/>
                <w:lang w:val="en-GB"/>
              </w:rPr>
              <w:t>Specification of Radio Resource Management core requirements for the UE [RAN4].</w:t>
            </w:r>
          </w:p>
          <w:p w14:paraId="71F73316" w14:textId="77777777" w:rsidR="00D00A84" w:rsidRPr="00D00A84" w:rsidRDefault="00D00A84" w:rsidP="00D00A84">
            <w:pPr>
              <w:widowControl w:val="0"/>
              <w:numPr>
                <w:ilvl w:val="0"/>
                <w:numId w:val="20"/>
              </w:numPr>
              <w:ind w:left="420"/>
              <w:jc w:val="both"/>
              <w:rPr>
                <w:i/>
                <w:kern w:val="2"/>
                <w:sz w:val="20"/>
                <w:szCs w:val="20"/>
                <w:lang w:val="en-GB"/>
              </w:rPr>
            </w:pPr>
            <w:r w:rsidRPr="00D00A84">
              <w:rPr>
                <w:kern w:val="2"/>
                <w:sz w:val="20"/>
                <w:szCs w:val="20"/>
                <w:lang w:val="en-GB"/>
              </w:rPr>
              <w:t>All requirements specified as part of this WI shall be Release-independent from Rel-17, and generic requirements defined for the above frequency bands shall be used as a basis for definition (in a later Release-independent work item) of requirements for future E-UTRA bands for IoT NTN operation.</w:t>
            </w:r>
          </w:p>
          <w:p w14:paraId="336FD3CC" w14:textId="77777777" w:rsidR="00D00A84" w:rsidRPr="00D00A84" w:rsidRDefault="00D00A84" w:rsidP="00D00A84">
            <w:pPr>
              <w:widowControl w:val="0"/>
              <w:numPr>
                <w:ilvl w:val="0"/>
                <w:numId w:val="20"/>
              </w:numPr>
              <w:ind w:left="420"/>
              <w:jc w:val="both"/>
              <w:rPr>
                <w:kern w:val="2"/>
                <w:sz w:val="20"/>
                <w:szCs w:val="20"/>
                <w:lang w:val="en-GB"/>
              </w:rPr>
            </w:pPr>
            <w:r w:rsidRPr="00D00A84">
              <w:rPr>
                <w:kern w:val="2"/>
                <w:sz w:val="20"/>
                <w:szCs w:val="20"/>
                <w:lang w:val="en-GB"/>
              </w:rPr>
              <w:t>The specification work of this WI shall:</w:t>
            </w:r>
          </w:p>
          <w:p w14:paraId="641CF5E0" w14:textId="77777777" w:rsidR="00D00A84" w:rsidRPr="00D00A84" w:rsidRDefault="00D00A84" w:rsidP="00D00A84">
            <w:pPr>
              <w:widowControl w:val="0"/>
              <w:numPr>
                <w:ilvl w:val="1"/>
                <w:numId w:val="20"/>
              </w:numPr>
              <w:jc w:val="both"/>
              <w:rPr>
                <w:kern w:val="2"/>
                <w:sz w:val="20"/>
                <w:szCs w:val="20"/>
                <w:lang w:val="en-GB"/>
              </w:rPr>
            </w:pPr>
            <w:r w:rsidRPr="00D00A84">
              <w:rPr>
                <w:kern w:val="2"/>
                <w:sz w:val="20"/>
                <w:szCs w:val="20"/>
                <w:lang w:val="en-GB"/>
              </w:rPr>
              <w:t>Be limited to FDD requirements applicable for NB1/NB2 and Cat-M1 UE categories (HD-FDD and FD-FDD for Cat-M1).</w:t>
            </w:r>
          </w:p>
          <w:p w14:paraId="46117821" w14:textId="77777777" w:rsidR="00D00A84" w:rsidRPr="00D00A84" w:rsidRDefault="00D00A84" w:rsidP="00D00A84">
            <w:pPr>
              <w:widowControl w:val="0"/>
              <w:numPr>
                <w:ilvl w:val="1"/>
                <w:numId w:val="20"/>
              </w:numPr>
              <w:jc w:val="both"/>
              <w:rPr>
                <w:kern w:val="2"/>
                <w:sz w:val="20"/>
                <w:szCs w:val="20"/>
                <w:lang w:val="en-GB"/>
              </w:rPr>
            </w:pPr>
            <w:r w:rsidRPr="00D00A84">
              <w:rPr>
                <w:kern w:val="2"/>
                <w:sz w:val="20"/>
                <w:szCs w:val="20"/>
                <w:lang w:val="en-GB"/>
              </w:rPr>
              <w:t xml:space="preserve">Re-use the framework and requirements from NB-IoT/eMTC, as well as NR NTN requirements, where applicable. </w:t>
            </w:r>
          </w:p>
          <w:p w14:paraId="12679B3D" w14:textId="76A778A2" w:rsidR="00F567F5" w:rsidRPr="00D00A84" w:rsidRDefault="00D00A84" w:rsidP="00D00A84">
            <w:pPr>
              <w:widowControl w:val="0"/>
              <w:numPr>
                <w:ilvl w:val="0"/>
                <w:numId w:val="20"/>
              </w:numPr>
              <w:ind w:left="420"/>
              <w:jc w:val="both"/>
              <w:rPr>
                <w:i/>
                <w:iCs/>
                <w:kern w:val="2"/>
                <w:sz w:val="20"/>
                <w:szCs w:val="20"/>
                <w:lang w:val="en-GB"/>
              </w:rPr>
            </w:pPr>
            <w:r w:rsidRPr="00D00A84">
              <w:rPr>
                <w:i/>
                <w:iCs/>
                <w:kern w:val="2"/>
                <w:sz w:val="20"/>
                <w:szCs w:val="20"/>
                <w:lang w:val="en-GB"/>
              </w:rPr>
              <w:t>NOTE: Rel-17 IoT NTN specifications do not cover non-NTN NB-IoT/eMTC functionality defined later than Rel-16.</w:t>
            </w:r>
          </w:p>
        </w:tc>
      </w:tr>
    </w:tbl>
    <w:p w14:paraId="4F4B87A0" w14:textId="6613C3E1" w:rsidR="00496903" w:rsidRPr="00645C45" w:rsidRDefault="001602CC" w:rsidP="00C41455">
      <w:pPr>
        <w:tabs>
          <w:tab w:val="left" w:pos="1134"/>
        </w:tabs>
        <w:spacing w:before="120" w:after="180" w:line="240" w:lineRule="exact"/>
        <w:rPr>
          <w:sz w:val="20"/>
          <w:szCs w:val="20"/>
        </w:rPr>
      </w:pPr>
      <w:r w:rsidRPr="001602CC">
        <w:rPr>
          <w:sz w:val="20"/>
          <w:szCs w:val="20"/>
        </w:rPr>
        <w:t>In this contribution, we</w:t>
      </w:r>
      <w:r w:rsidR="00C41455">
        <w:rPr>
          <w:sz w:val="20"/>
          <w:szCs w:val="20"/>
        </w:rPr>
        <w:t xml:space="preserve"> </w:t>
      </w:r>
      <w:r w:rsidR="00DE6631">
        <w:rPr>
          <w:sz w:val="20"/>
          <w:szCs w:val="20"/>
        </w:rPr>
        <w:t>identify</w:t>
      </w:r>
      <w:r w:rsidR="000B7729">
        <w:rPr>
          <w:sz w:val="20"/>
          <w:szCs w:val="20"/>
        </w:rPr>
        <w:t xml:space="preserve"> the RRM impact considering the </w:t>
      </w:r>
      <w:r w:rsidR="00DE6631">
        <w:rPr>
          <w:sz w:val="20"/>
          <w:szCs w:val="20"/>
        </w:rPr>
        <w:t>agreements in Release 17 W</w:t>
      </w:r>
      <w:r w:rsidR="00DE6631" w:rsidRPr="00DE6631">
        <w:rPr>
          <w:sz w:val="20"/>
          <w:szCs w:val="20"/>
        </w:rPr>
        <w:t>ork Item LTE_NBIOT_eMTC_NTN</w:t>
      </w:r>
      <w:r w:rsidR="009217A7">
        <w:rPr>
          <w:sz w:val="20"/>
          <w:szCs w:val="20"/>
        </w:rPr>
        <w:t>.</w:t>
      </w:r>
    </w:p>
    <w:p w14:paraId="1F9EE110" w14:textId="0420142F" w:rsidR="00932153" w:rsidRDefault="0061140B"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61140B">
        <w:rPr>
          <w:rFonts w:ascii="Times New Roman" w:hAnsi="Times New Roman"/>
          <w:b w:val="0"/>
          <w:bCs w:val="0"/>
          <w:kern w:val="0"/>
          <w:sz w:val="36"/>
          <w:szCs w:val="36"/>
        </w:rPr>
        <w:lastRenderedPageBreak/>
        <w:t>RRM impact</w:t>
      </w:r>
      <w:r>
        <w:rPr>
          <w:rFonts w:ascii="Times New Roman" w:hAnsi="Times New Roman"/>
          <w:b w:val="0"/>
          <w:bCs w:val="0"/>
          <w:kern w:val="0"/>
          <w:sz w:val="36"/>
          <w:szCs w:val="36"/>
        </w:rPr>
        <w:t xml:space="preserve"> of </w:t>
      </w:r>
      <w:r w:rsidR="00EE60D0">
        <w:rPr>
          <w:rFonts w:ascii="Times New Roman" w:hAnsi="Times New Roman"/>
          <w:b w:val="0"/>
          <w:bCs w:val="0"/>
          <w:kern w:val="0"/>
          <w:sz w:val="36"/>
          <w:szCs w:val="36"/>
        </w:rPr>
        <w:t>R17 IOT NTN</w:t>
      </w:r>
      <w:r>
        <w:rPr>
          <w:rFonts w:ascii="Times New Roman" w:hAnsi="Times New Roman"/>
          <w:b w:val="0"/>
          <w:bCs w:val="0"/>
          <w:kern w:val="0"/>
          <w:sz w:val="36"/>
          <w:szCs w:val="36"/>
        </w:rPr>
        <w:t xml:space="preserve"> </w:t>
      </w:r>
      <w:r w:rsidR="003E62ED">
        <w:rPr>
          <w:rFonts w:ascii="Times New Roman" w:hAnsi="Times New Roman"/>
          <w:b w:val="0"/>
          <w:bCs w:val="0"/>
          <w:kern w:val="0"/>
          <w:sz w:val="36"/>
          <w:szCs w:val="36"/>
        </w:rPr>
        <w:t>feature</w:t>
      </w:r>
    </w:p>
    <w:p w14:paraId="521A4459" w14:textId="35ABA4CD" w:rsidR="000631DB" w:rsidRPr="000631DB" w:rsidRDefault="0061140B" w:rsidP="000631DB">
      <w:pPr>
        <w:spacing w:beforeLines="50" w:before="156"/>
        <w:ind w:left="98" w:hangingChars="50" w:hanging="98"/>
        <w:rPr>
          <w:b/>
          <w:sz w:val="20"/>
          <w:szCs w:val="20"/>
          <w:u w:val="single"/>
        </w:rPr>
      </w:pPr>
      <w:bookmarkStart w:id="7" w:name="_Hlk70326378"/>
      <w:r>
        <w:rPr>
          <w:b/>
          <w:sz w:val="20"/>
          <w:szCs w:val="20"/>
          <w:u w:val="single"/>
        </w:rPr>
        <w:t>Scenario</w:t>
      </w:r>
    </w:p>
    <w:p w14:paraId="14C7E295" w14:textId="0C978CEA" w:rsidR="0061140B" w:rsidRDefault="00F1525C" w:rsidP="001B6702">
      <w:pPr>
        <w:spacing w:beforeLines="50" w:before="156"/>
        <w:ind w:left="100" w:hangingChars="50" w:hanging="100"/>
        <w:rPr>
          <w:rFonts w:eastAsia="等线"/>
          <w:sz w:val="20"/>
          <w:szCs w:val="20"/>
        </w:rPr>
      </w:pPr>
      <w:r w:rsidRPr="001B6702">
        <w:rPr>
          <w:rFonts w:eastAsia="等线"/>
          <w:sz w:val="20"/>
          <w:szCs w:val="20"/>
        </w:rPr>
        <w:t xml:space="preserve">Based on </w:t>
      </w:r>
      <w:r w:rsidR="00A54FC5" w:rsidRPr="001B6702">
        <w:rPr>
          <w:rFonts w:eastAsia="等线"/>
          <w:sz w:val="20"/>
          <w:szCs w:val="20"/>
        </w:rPr>
        <w:t>the</w:t>
      </w:r>
      <w:r w:rsidR="00A54FC5">
        <w:rPr>
          <w:rFonts w:eastAsia="等线"/>
          <w:sz w:val="20"/>
          <w:szCs w:val="20"/>
        </w:rPr>
        <w:t xml:space="preserve"> WID</w:t>
      </w:r>
      <w:r>
        <w:rPr>
          <w:rFonts w:eastAsia="等线"/>
          <w:sz w:val="20"/>
          <w:szCs w:val="20"/>
        </w:rPr>
        <w:t xml:space="preserve">, </w:t>
      </w:r>
      <w:r w:rsidR="0061140B">
        <w:rPr>
          <w:rFonts w:eastAsia="等线"/>
          <w:sz w:val="20"/>
          <w:szCs w:val="20"/>
        </w:rPr>
        <w:t xml:space="preserve">R17 </w:t>
      </w:r>
      <w:r w:rsidR="00A54FC5">
        <w:rPr>
          <w:rFonts w:eastAsia="等线"/>
          <w:sz w:val="20"/>
          <w:szCs w:val="20"/>
        </w:rPr>
        <w:t xml:space="preserve">IOT-NTN </w:t>
      </w:r>
      <w:r w:rsidR="0061140B">
        <w:rPr>
          <w:rFonts w:eastAsia="等线"/>
          <w:sz w:val="20"/>
          <w:szCs w:val="20"/>
        </w:rPr>
        <w:t>ATG work item</w:t>
      </w:r>
      <w:r w:rsidR="00F35B6A">
        <w:rPr>
          <w:rFonts w:eastAsia="等线"/>
          <w:sz w:val="20"/>
          <w:szCs w:val="20"/>
        </w:rPr>
        <w:t xml:space="preserve"> </w:t>
      </w:r>
      <w:r w:rsidR="0061140B">
        <w:rPr>
          <w:rFonts w:eastAsia="等线"/>
          <w:sz w:val="20"/>
          <w:szCs w:val="20"/>
        </w:rPr>
        <w:t xml:space="preserve">focus on </w:t>
      </w:r>
      <w:r w:rsidR="008F492D">
        <w:rPr>
          <w:rFonts w:eastAsia="等线"/>
          <w:sz w:val="20"/>
          <w:szCs w:val="20"/>
        </w:rPr>
        <w:t xml:space="preserve">FR1 </w:t>
      </w:r>
      <w:r w:rsidR="00A54FC5">
        <w:rPr>
          <w:rFonts w:eastAsia="等线"/>
          <w:sz w:val="20"/>
          <w:szCs w:val="20"/>
        </w:rPr>
        <w:t xml:space="preserve">FDD </w:t>
      </w:r>
      <w:r w:rsidR="008F492D">
        <w:rPr>
          <w:rFonts w:eastAsia="等线"/>
          <w:sz w:val="20"/>
          <w:szCs w:val="20"/>
        </w:rPr>
        <w:t>scenario.</w:t>
      </w:r>
      <w:r w:rsidR="0045241E">
        <w:rPr>
          <w:rFonts w:eastAsia="等线"/>
          <w:sz w:val="20"/>
          <w:szCs w:val="20"/>
        </w:rPr>
        <w:t xml:space="preserve"> </w:t>
      </w:r>
      <w:r w:rsidR="008F492D">
        <w:rPr>
          <w:rFonts w:eastAsia="等线"/>
          <w:sz w:val="20"/>
          <w:szCs w:val="20"/>
        </w:rPr>
        <w:t xml:space="preserve">Therefore, the </w:t>
      </w:r>
      <w:r w:rsidR="009761B7">
        <w:rPr>
          <w:rFonts w:eastAsia="等线"/>
          <w:sz w:val="20"/>
          <w:szCs w:val="20"/>
        </w:rPr>
        <w:t>TDD</w:t>
      </w:r>
      <w:r w:rsidR="00150A5C">
        <w:rPr>
          <w:rFonts w:eastAsia="等线"/>
          <w:sz w:val="20"/>
          <w:szCs w:val="20"/>
        </w:rPr>
        <w:t xml:space="preserve"> </w:t>
      </w:r>
      <w:r w:rsidR="0045241E">
        <w:rPr>
          <w:rFonts w:eastAsia="等线"/>
          <w:sz w:val="20"/>
          <w:szCs w:val="20"/>
        </w:rPr>
        <w:t xml:space="preserve">related </w:t>
      </w:r>
      <w:r w:rsidR="008F492D">
        <w:rPr>
          <w:rFonts w:eastAsia="等线"/>
          <w:sz w:val="20"/>
          <w:szCs w:val="20"/>
        </w:rPr>
        <w:t>r</w:t>
      </w:r>
      <w:r w:rsidR="008F492D" w:rsidRPr="008F492D">
        <w:rPr>
          <w:rFonts w:eastAsia="等线"/>
          <w:sz w:val="20"/>
          <w:szCs w:val="20"/>
        </w:rPr>
        <w:t>equirements</w:t>
      </w:r>
      <w:r w:rsidR="00150A5C">
        <w:rPr>
          <w:rFonts w:eastAsia="等线"/>
          <w:sz w:val="20"/>
          <w:szCs w:val="20"/>
        </w:rPr>
        <w:t xml:space="preserve"> are not applicable to </w:t>
      </w:r>
      <w:r w:rsidR="009761B7">
        <w:rPr>
          <w:rFonts w:eastAsia="等线"/>
          <w:sz w:val="20"/>
          <w:szCs w:val="20"/>
        </w:rPr>
        <w:t>R17 IOT-NTN</w:t>
      </w:r>
      <w:r w:rsidR="00150A5C">
        <w:rPr>
          <w:rFonts w:eastAsia="等线"/>
          <w:sz w:val="20"/>
          <w:szCs w:val="20"/>
        </w:rPr>
        <w:t>.</w:t>
      </w:r>
    </w:p>
    <w:p w14:paraId="5921966C" w14:textId="753F2C3F" w:rsidR="00F35B6A" w:rsidRDefault="00F35B6A" w:rsidP="00F35B6A">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0023678D" w:rsidRPr="0023678D">
        <w:rPr>
          <w:rFonts w:eastAsia="等线"/>
          <w:b/>
          <w:bCs/>
          <w:i/>
          <w:iCs/>
          <w:sz w:val="20"/>
          <w:szCs w:val="20"/>
        </w:rPr>
        <w:t>TDD related requirements are not applicable to R17 IOT-NTN</w:t>
      </w:r>
      <w:r w:rsidR="0023678D">
        <w:rPr>
          <w:rFonts w:eastAsia="等线"/>
          <w:b/>
          <w:bCs/>
          <w:i/>
          <w:iCs/>
          <w:sz w:val="20"/>
          <w:szCs w:val="20"/>
        </w:rPr>
        <w:t>.</w:t>
      </w:r>
    </w:p>
    <w:p w14:paraId="4161FA32" w14:textId="2C277E47" w:rsidR="0054469E" w:rsidRDefault="0023678D" w:rsidP="0054469E">
      <w:pPr>
        <w:spacing w:beforeLines="50" w:before="156"/>
        <w:ind w:left="98" w:hangingChars="50" w:hanging="98"/>
        <w:rPr>
          <w:b/>
          <w:sz w:val="20"/>
          <w:szCs w:val="20"/>
          <w:u w:val="single"/>
        </w:rPr>
      </w:pPr>
      <w:r>
        <w:rPr>
          <w:b/>
          <w:sz w:val="20"/>
          <w:szCs w:val="20"/>
          <w:u w:val="single"/>
        </w:rPr>
        <w:t>UE pre-</w:t>
      </w:r>
      <w:r w:rsidR="001E253B">
        <w:rPr>
          <w:b/>
          <w:sz w:val="20"/>
          <w:szCs w:val="20"/>
          <w:u w:val="single"/>
        </w:rPr>
        <w:t>compensation</w:t>
      </w:r>
      <w:r>
        <w:rPr>
          <w:b/>
          <w:sz w:val="20"/>
          <w:szCs w:val="20"/>
          <w:u w:val="single"/>
        </w:rPr>
        <w:t xml:space="preserve"> of UL timing offset</w:t>
      </w:r>
    </w:p>
    <w:p w14:paraId="396B0B0E" w14:textId="75E320C0" w:rsidR="001E253B" w:rsidRDefault="004F4E8A" w:rsidP="003C5A61">
      <w:pPr>
        <w:tabs>
          <w:tab w:val="left" w:pos="1134"/>
        </w:tabs>
        <w:spacing w:before="60"/>
        <w:jc w:val="both"/>
        <w:rPr>
          <w:rFonts w:eastAsia="等线"/>
          <w:sz w:val="20"/>
          <w:szCs w:val="20"/>
        </w:rPr>
      </w:pPr>
      <w:r>
        <w:rPr>
          <w:rFonts w:eastAsia="等线"/>
          <w:sz w:val="20"/>
          <w:szCs w:val="20"/>
        </w:rPr>
        <w:t xml:space="preserve">According to the </w:t>
      </w:r>
      <w:r w:rsidR="0023678D">
        <w:rPr>
          <w:rFonts w:eastAsia="等线"/>
          <w:sz w:val="20"/>
          <w:szCs w:val="20"/>
        </w:rPr>
        <w:t xml:space="preserve">agreement in RAN1#106-e, </w:t>
      </w:r>
      <w:r w:rsidR="001E253B">
        <w:rPr>
          <w:rFonts w:eastAsia="等线"/>
          <w:sz w:val="20"/>
          <w:szCs w:val="20"/>
        </w:rPr>
        <w:t>UE perform UL timing pre-compensation is supported.</w:t>
      </w:r>
    </w:p>
    <w:tbl>
      <w:tblPr>
        <w:tblStyle w:val="a8"/>
        <w:tblW w:w="0" w:type="auto"/>
        <w:tblLook w:val="04A0" w:firstRow="1" w:lastRow="0" w:firstColumn="1" w:lastColumn="0" w:noHBand="0" w:noVBand="1"/>
      </w:tblPr>
      <w:tblGrid>
        <w:gridCol w:w="9331"/>
      </w:tblGrid>
      <w:tr w:rsidR="001E253B" w14:paraId="64D9C782" w14:textId="77777777" w:rsidTr="001E253B">
        <w:tc>
          <w:tcPr>
            <w:tcW w:w="9331" w:type="dxa"/>
          </w:tcPr>
          <w:p w14:paraId="25D61520" w14:textId="77777777" w:rsidR="001E253B" w:rsidRPr="001E253B" w:rsidRDefault="001E253B" w:rsidP="001E253B">
            <w:pPr>
              <w:tabs>
                <w:tab w:val="left" w:pos="1134"/>
              </w:tabs>
              <w:spacing w:before="60"/>
              <w:jc w:val="both"/>
              <w:rPr>
                <w:rFonts w:eastAsia="等线"/>
                <w:i/>
                <w:iCs/>
                <w:sz w:val="20"/>
                <w:szCs w:val="20"/>
              </w:rPr>
            </w:pPr>
            <w:r w:rsidRPr="001E253B">
              <w:rPr>
                <w:rFonts w:eastAsia="等线"/>
                <w:i/>
                <w:iCs/>
                <w:sz w:val="20"/>
                <w:szCs w:val="20"/>
                <w:highlight w:val="green"/>
                <w:lang w:val="en-GB"/>
              </w:rPr>
              <w:t>Agreement:</w:t>
            </w:r>
          </w:p>
          <w:p w14:paraId="20F540C6" w14:textId="77777777" w:rsidR="001E253B" w:rsidRPr="001E253B" w:rsidRDefault="001E253B" w:rsidP="00487C15">
            <w:pPr>
              <w:tabs>
                <w:tab w:val="left" w:pos="1134"/>
              </w:tabs>
              <w:jc w:val="both"/>
              <w:rPr>
                <w:rFonts w:eastAsia="等线"/>
                <w:i/>
                <w:iCs/>
                <w:sz w:val="20"/>
                <w:szCs w:val="20"/>
              </w:rPr>
            </w:pPr>
            <w:r w:rsidRPr="001E253B">
              <w:rPr>
                <w:rFonts w:eastAsia="等线"/>
                <w:i/>
                <w:iCs/>
                <w:sz w:val="20"/>
                <w:szCs w:val="20"/>
                <w:lang w:val="en-GB"/>
              </w:rPr>
              <w:t>The following agreement from NR NTN are re-used for IoT NTN as working assumption</w:t>
            </w:r>
          </w:p>
          <w:p w14:paraId="2E7E1FC0" w14:textId="77777777" w:rsidR="001E253B" w:rsidRPr="00487C15" w:rsidRDefault="001E253B" w:rsidP="00487C15">
            <w:pPr>
              <w:numPr>
                <w:ilvl w:val="0"/>
                <w:numId w:val="29"/>
              </w:numPr>
              <w:tabs>
                <w:tab w:val="left" w:pos="1134"/>
              </w:tabs>
              <w:jc w:val="both"/>
              <w:rPr>
                <w:rFonts w:eastAsia="等线"/>
                <w:sz w:val="20"/>
                <w:szCs w:val="20"/>
              </w:rPr>
            </w:pPr>
            <w:r w:rsidRPr="001E253B">
              <w:rPr>
                <w:rFonts w:eastAsia="等线"/>
                <w:i/>
                <w:iCs/>
                <w:sz w:val="20"/>
                <w:szCs w:val="20"/>
                <w:lang w:val="en-GB"/>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72062D35" w14:textId="77777777" w:rsidR="00487C15" w:rsidRPr="00487C15" w:rsidRDefault="00487C15" w:rsidP="00487C15">
            <w:pPr>
              <w:tabs>
                <w:tab w:val="left" w:pos="1134"/>
              </w:tabs>
              <w:jc w:val="both"/>
              <w:rPr>
                <w:rFonts w:eastAsia="等线"/>
                <w:i/>
                <w:iCs/>
                <w:sz w:val="20"/>
                <w:szCs w:val="20"/>
              </w:rPr>
            </w:pPr>
            <w:r w:rsidRPr="00487C15">
              <w:rPr>
                <w:rFonts w:eastAsia="等线"/>
                <w:i/>
                <w:iCs/>
                <w:sz w:val="20"/>
                <w:szCs w:val="20"/>
                <w:highlight w:val="green"/>
                <w:lang w:val="en-GB"/>
              </w:rPr>
              <w:t>Agreement:</w:t>
            </w:r>
          </w:p>
          <w:p w14:paraId="72013CE4" w14:textId="77777777" w:rsidR="00487C15" w:rsidRPr="00487C15" w:rsidRDefault="00487C15" w:rsidP="00487C15">
            <w:pPr>
              <w:tabs>
                <w:tab w:val="left" w:pos="1134"/>
              </w:tabs>
              <w:jc w:val="both"/>
              <w:rPr>
                <w:rFonts w:eastAsia="等线"/>
                <w:i/>
                <w:iCs/>
                <w:sz w:val="20"/>
                <w:szCs w:val="20"/>
              </w:rPr>
            </w:pPr>
            <w:r w:rsidRPr="00487C15">
              <w:rPr>
                <w:rFonts w:eastAsia="等线"/>
                <w:i/>
                <w:iCs/>
                <w:sz w:val="20"/>
                <w:szCs w:val="20"/>
                <w:lang w:val="en-GB"/>
              </w:rPr>
              <w:t>The following agreements from NR NTN are re-used for IoT NTN as working assumption.</w:t>
            </w:r>
          </w:p>
          <w:p w14:paraId="3489F3BC" w14:textId="77777777" w:rsidR="00487C15" w:rsidRPr="00487C15" w:rsidRDefault="00487C15" w:rsidP="00487C15">
            <w:pPr>
              <w:numPr>
                <w:ilvl w:val="0"/>
                <w:numId w:val="32"/>
              </w:numPr>
              <w:tabs>
                <w:tab w:val="left" w:pos="1134"/>
              </w:tabs>
              <w:jc w:val="both"/>
              <w:rPr>
                <w:rFonts w:eastAsia="等线"/>
                <w:i/>
                <w:iCs/>
                <w:sz w:val="20"/>
                <w:szCs w:val="20"/>
              </w:rPr>
            </w:pPr>
            <w:r w:rsidRPr="00487C15">
              <w:rPr>
                <w:rFonts w:eastAsia="等线"/>
                <w:i/>
                <w:iCs/>
                <w:sz w:val="20"/>
                <w:szCs w:val="20"/>
                <w:lang w:val="en-GB"/>
              </w:rPr>
              <w:t>Timing Advance formula can be transposed to IoT-NTN with T</w:t>
            </w:r>
            <w:r w:rsidRPr="00487C15">
              <w:rPr>
                <w:rFonts w:eastAsia="等线"/>
                <w:i/>
                <w:iCs/>
                <w:sz w:val="20"/>
                <w:szCs w:val="20"/>
                <w:vertAlign w:val="subscript"/>
                <w:lang w:val="en-GB"/>
              </w:rPr>
              <w:t>s</w:t>
            </w:r>
            <w:r w:rsidRPr="00487C15">
              <w:rPr>
                <w:rFonts w:eastAsia="等线"/>
                <w:i/>
                <w:iCs/>
                <w:sz w:val="20"/>
                <w:szCs w:val="20"/>
                <w:lang w:val="en-GB"/>
              </w:rPr>
              <w:t xml:space="preserve"> used instead of T</w:t>
            </w:r>
            <w:r w:rsidRPr="00487C15">
              <w:rPr>
                <w:rFonts w:eastAsia="等线"/>
                <w:i/>
                <w:iCs/>
                <w:sz w:val="20"/>
                <w:szCs w:val="20"/>
                <w:vertAlign w:val="subscript"/>
                <w:lang w:val="en-GB"/>
              </w:rPr>
              <w:t>c</w:t>
            </w:r>
            <w:r w:rsidRPr="00487C15">
              <w:rPr>
                <w:rFonts w:eastAsia="等线"/>
                <w:i/>
                <w:iCs/>
                <w:sz w:val="20"/>
                <w:szCs w:val="20"/>
                <w:lang w:val="en-GB"/>
              </w:rPr>
              <w:t xml:space="preserve"> </w:t>
            </w:r>
          </w:p>
          <w:p w14:paraId="2B584558" w14:textId="77777777" w:rsidR="00487C15" w:rsidRPr="00487C15" w:rsidRDefault="00487C15" w:rsidP="00487C15">
            <w:pPr>
              <w:tabs>
                <w:tab w:val="left" w:pos="1134"/>
              </w:tabs>
              <w:jc w:val="both"/>
              <w:rPr>
                <w:rFonts w:eastAsia="等线"/>
                <w:i/>
                <w:iCs/>
                <w:sz w:val="20"/>
                <w:szCs w:val="20"/>
              </w:rPr>
            </w:pPr>
            <w:r w:rsidRPr="00487C15">
              <w:rPr>
                <w:rFonts w:eastAsia="等线"/>
                <w:i/>
                <w:iCs/>
                <w:sz w:val="20"/>
                <w:szCs w:val="20"/>
              </w:rPr>
              <w:t>The Timing Advance applied by an NR NTN UE in RRC_IDLE/INACTIVE and RRC_CONNECTED is given by:</w:t>
            </w:r>
          </w:p>
          <w:p w14:paraId="746916D5" w14:textId="00114CF0" w:rsidR="00487C15" w:rsidRPr="00487C15" w:rsidRDefault="00000000" w:rsidP="00487C15">
            <w:pPr>
              <w:tabs>
                <w:tab w:val="left" w:pos="1134"/>
              </w:tabs>
              <w:jc w:val="both"/>
              <w:rPr>
                <w:rFonts w:eastAsia="等线"/>
                <w:i/>
                <w:iCs/>
                <w:sz w:val="20"/>
                <w:szCs w:val="20"/>
              </w:rPr>
            </w:pPr>
            <m:oMathPara>
              <m:oMathParaPr>
                <m:jc m:val="centerGroup"/>
              </m:oMathPara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T</m:t>
                    </m:r>
                  </m:e>
                  <m:sub>
                    <m:r>
                      <m:rPr>
                        <m:sty m:val="bi"/>
                      </m:rPr>
                      <w:rPr>
                        <w:rFonts w:ascii="Cambria Math" w:eastAsia="等线" w:hAnsi="Cambria Math"/>
                        <w:sz w:val="20"/>
                        <w:szCs w:val="20"/>
                        <w:lang w:val="en-GB"/>
                      </w:rPr>
                      <m:t>TA</m:t>
                    </m:r>
                  </m:sub>
                </m:sSub>
                <m:r>
                  <m:rPr>
                    <m:sty m:val="bi"/>
                  </m:rPr>
                  <w:rPr>
                    <w:rFonts w:ascii="Cambria Math" w:eastAsia="等线" w:hAnsi="Cambria Math"/>
                    <w:sz w:val="20"/>
                    <w:szCs w:val="20"/>
                  </w:rPr>
                  <m:t>=</m:t>
                </m:r>
                <m:d>
                  <m:dPr>
                    <m:ctrlPr>
                      <w:rPr>
                        <w:rFonts w:ascii="Cambria Math" w:eastAsia="等线" w:hAnsi="Cambria Math"/>
                        <w:b/>
                        <w:bCs/>
                        <w:i/>
                        <w:iCs/>
                        <w:sz w:val="20"/>
                        <w:szCs w:val="20"/>
                      </w:rPr>
                    </m:ctrlPr>
                  </m:dPr>
                  <m:e>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sub>
                    </m:sSub>
                    <m:r>
                      <m:rPr>
                        <m:sty m:val="bi"/>
                      </m:rPr>
                      <w:rPr>
                        <w:rFonts w:ascii="Cambria Math" w:eastAsia="等线" w:hAnsi="Cambria Math"/>
                        <w:sz w:val="20"/>
                        <w:szCs w:val="20"/>
                      </w:rPr>
                      <m:t>+</m:t>
                    </m:r>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UE</m:t>
                        </m:r>
                        <m:r>
                          <m:rPr>
                            <m:sty m:val="bi"/>
                          </m:rPr>
                          <w:rPr>
                            <w:rFonts w:ascii="Cambria Math" w:eastAsia="等线" w:hAnsi="Cambria Math"/>
                            <w:sz w:val="20"/>
                            <w:szCs w:val="20"/>
                          </w:rPr>
                          <m:t>-</m:t>
                        </m:r>
                        <m:r>
                          <m:rPr>
                            <m:sty m:val="bi"/>
                          </m:rPr>
                          <w:rPr>
                            <w:rFonts w:ascii="Cambria Math" w:eastAsia="等线" w:hAnsi="Cambria Math"/>
                            <w:sz w:val="20"/>
                            <w:szCs w:val="20"/>
                            <w:lang w:val="en-GB"/>
                          </w:rPr>
                          <m:t>specific</m:t>
                        </m:r>
                      </m:sub>
                    </m:sSub>
                    <m:sSub>
                      <m:sSubPr>
                        <m:ctrlPr>
                          <w:rPr>
                            <w:rFonts w:ascii="Cambria Math" w:eastAsia="等线" w:hAnsi="Cambria Math"/>
                            <w:b/>
                            <w:bCs/>
                            <w:i/>
                            <w:iCs/>
                            <w:sz w:val="20"/>
                            <w:szCs w:val="20"/>
                          </w:rPr>
                        </m:ctrlPr>
                      </m:sSubPr>
                      <m:e>
                        <m:r>
                          <m:rPr>
                            <m:sty m:val="bi"/>
                          </m:rPr>
                          <w:rPr>
                            <w:rFonts w:ascii="Cambria Math" w:eastAsia="等线" w:hAnsi="Cambria Math"/>
                            <w:sz w:val="20"/>
                            <w:szCs w:val="20"/>
                          </w:rPr>
                          <m:t>+</m:t>
                        </m:r>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common</m:t>
                        </m:r>
                      </m:sub>
                    </m:sSub>
                    <m:sSub>
                      <m:sSubPr>
                        <m:ctrlPr>
                          <w:rPr>
                            <w:rFonts w:ascii="Cambria Math" w:eastAsia="等线" w:hAnsi="Cambria Math"/>
                            <w:b/>
                            <w:bCs/>
                            <w:i/>
                            <w:iCs/>
                            <w:sz w:val="20"/>
                            <w:szCs w:val="20"/>
                          </w:rPr>
                        </m:ctrlPr>
                      </m:sSubPr>
                      <m:e>
                        <m:r>
                          <m:rPr>
                            <m:sty m:val="bi"/>
                          </m:rPr>
                          <w:rPr>
                            <w:rFonts w:ascii="Cambria Math" w:eastAsia="等线" w:hAnsi="Cambria Math"/>
                            <w:sz w:val="20"/>
                            <w:szCs w:val="20"/>
                          </w:rPr>
                          <m:t>+</m:t>
                        </m:r>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offset</m:t>
                        </m:r>
                      </m:sub>
                    </m:sSub>
                  </m:e>
                </m:d>
                <m:r>
                  <m:rPr>
                    <m:sty m:val="bi"/>
                  </m:rPr>
                  <w:rPr>
                    <w:rFonts w:ascii="Cambria Math" w:eastAsia="等线" w:hAnsi="Cambria Math" w:hint="eastAsia"/>
                    <w:sz w:val="20"/>
                    <w:szCs w:val="20"/>
                  </w:rPr>
                  <m:t>×</m:t>
                </m:r>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T</m:t>
                    </m:r>
                  </m:e>
                  <m:sub>
                    <m:r>
                      <m:rPr>
                        <m:sty m:val="bi"/>
                      </m:rPr>
                      <w:rPr>
                        <w:rFonts w:ascii="Cambria Math" w:eastAsia="等线" w:hAnsi="Cambria Math"/>
                        <w:sz w:val="20"/>
                        <w:szCs w:val="20"/>
                        <w:lang w:val="en-GB"/>
                      </w:rPr>
                      <m:t>s</m:t>
                    </m:r>
                  </m:sub>
                </m:sSub>
              </m:oMath>
            </m:oMathPara>
          </w:p>
          <w:p w14:paraId="7E9DEFB9" w14:textId="77777777" w:rsidR="00487C15" w:rsidRPr="00487C15" w:rsidRDefault="00487C15" w:rsidP="00487C15">
            <w:pPr>
              <w:tabs>
                <w:tab w:val="left" w:pos="1134"/>
              </w:tabs>
              <w:jc w:val="both"/>
              <w:rPr>
                <w:rFonts w:eastAsia="等线"/>
                <w:i/>
                <w:iCs/>
                <w:sz w:val="20"/>
                <w:szCs w:val="20"/>
              </w:rPr>
            </w:pPr>
            <w:r w:rsidRPr="00487C15">
              <w:rPr>
                <w:rFonts w:eastAsia="等线"/>
                <w:i/>
                <w:iCs/>
                <w:sz w:val="20"/>
                <w:szCs w:val="20"/>
                <w:lang w:val="en-GB"/>
              </w:rPr>
              <w:t>Where:</w:t>
            </w:r>
          </w:p>
          <w:p w14:paraId="0C028046" w14:textId="48BB196B" w:rsidR="00487C15" w:rsidRPr="00487C15" w:rsidRDefault="00000000" w:rsidP="00487C15">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sub>
              </m:sSub>
            </m:oMath>
            <w:r w:rsidR="00487C15" w:rsidRPr="00487C15">
              <w:rPr>
                <w:rFonts w:eastAsia="等线"/>
                <w:i/>
                <w:iCs/>
                <w:sz w:val="20"/>
                <w:szCs w:val="20"/>
              </w:rPr>
              <w:t xml:space="preserve">  is defined as 0 for PRACH and updated based on TA Command field in msg2/msgB and MAC CE TA command. </w:t>
            </w:r>
          </w:p>
          <w:p w14:paraId="56FFBED7" w14:textId="77777777" w:rsidR="00487C15" w:rsidRPr="00487C15" w:rsidRDefault="00487C15" w:rsidP="00487C15">
            <w:pPr>
              <w:numPr>
                <w:ilvl w:val="1"/>
                <w:numId w:val="31"/>
              </w:numPr>
              <w:tabs>
                <w:tab w:val="left" w:pos="1134"/>
              </w:tabs>
              <w:jc w:val="both"/>
              <w:rPr>
                <w:rFonts w:eastAsia="等线"/>
                <w:i/>
                <w:iCs/>
                <w:sz w:val="20"/>
                <w:szCs w:val="20"/>
              </w:rPr>
            </w:pPr>
            <w:r w:rsidRPr="00487C15">
              <w:rPr>
                <w:rFonts w:eastAsia="等线"/>
                <w:i/>
                <w:iCs/>
                <w:sz w:val="20"/>
                <w:szCs w:val="20"/>
              </w:rPr>
              <w:t>FFS: details of N</w:t>
            </w:r>
            <w:r w:rsidRPr="00487C15">
              <w:rPr>
                <w:rFonts w:eastAsia="等线"/>
                <w:i/>
                <w:iCs/>
                <w:sz w:val="20"/>
                <w:szCs w:val="20"/>
                <w:vertAlign w:val="subscript"/>
              </w:rPr>
              <w:t>TA</w:t>
            </w:r>
            <w:r w:rsidRPr="00487C15">
              <w:rPr>
                <w:rFonts w:eastAsia="等线"/>
                <w:i/>
                <w:iCs/>
                <w:sz w:val="20"/>
                <w:szCs w:val="20"/>
              </w:rPr>
              <w:t> update/accumulation.</w:t>
            </w:r>
          </w:p>
          <w:p w14:paraId="2C492DE6" w14:textId="39743A63" w:rsidR="00487C15" w:rsidRPr="00487C15" w:rsidRDefault="00000000" w:rsidP="00487C15">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UE</m:t>
                  </m:r>
                  <m:r>
                    <m:rPr>
                      <m:sty m:val="bi"/>
                    </m:rPr>
                    <w:rPr>
                      <w:rFonts w:ascii="Cambria Math" w:eastAsia="等线" w:hAnsi="Cambria Math"/>
                      <w:sz w:val="20"/>
                      <w:szCs w:val="20"/>
                    </w:rPr>
                    <m:t>-</m:t>
                  </m:r>
                  <m:r>
                    <m:rPr>
                      <m:sty m:val="bi"/>
                    </m:rPr>
                    <w:rPr>
                      <w:rFonts w:ascii="Cambria Math" w:eastAsia="等线" w:hAnsi="Cambria Math"/>
                      <w:sz w:val="20"/>
                      <w:szCs w:val="20"/>
                      <w:lang w:val="en-GB"/>
                    </w:rPr>
                    <m:t>specific</m:t>
                  </m:r>
                </m:sub>
              </m:sSub>
            </m:oMath>
            <w:r w:rsidR="00487C15" w:rsidRPr="00487C15">
              <w:rPr>
                <w:rFonts w:eastAsia="等线"/>
                <w:i/>
                <w:iCs/>
                <w:sz w:val="20"/>
                <w:szCs w:val="20"/>
              </w:rPr>
              <w:t>  is UE self-estimated TA to pre-compensate for the service link delay.</w:t>
            </w:r>
          </w:p>
          <w:p w14:paraId="0E72AAB2" w14:textId="2D4D74E4" w:rsidR="00487C15" w:rsidRPr="00487C15" w:rsidRDefault="00000000" w:rsidP="00487C15">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common</m:t>
                  </m:r>
                </m:sub>
              </m:sSub>
            </m:oMath>
            <w:r w:rsidR="00487C15" w:rsidRPr="00487C15">
              <w:rPr>
                <w:rFonts w:eastAsia="等线"/>
                <w:i/>
                <w:iCs/>
                <w:sz w:val="20"/>
                <w:szCs w:val="20"/>
              </w:rPr>
              <w:t> is network-controlled common TA, and may include any timing offset considered necessary by the network.</w:t>
            </w:r>
          </w:p>
          <w:p w14:paraId="600B35D8" w14:textId="37670D5B" w:rsidR="00487C15" w:rsidRPr="00487C15" w:rsidRDefault="00000000" w:rsidP="00487C15">
            <w:pPr>
              <w:numPr>
                <w:ilvl w:val="0"/>
                <w:numId w:val="31"/>
              </w:numPr>
              <w:tabs>
                <w:tab w:val="left" w:pos="1134"/>
              </w:tabs>
              <w:jc w:val="both"/>
              <w:rPr>
                <w:rFonts w:eastAsia="等线"/>
                <w:i/>
                <w:iCs/>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common</m:t>
                  </m:r>
                </m:sub>
              </m:sSub>
            </m:oMath>
            <w:r w:rsidR="00487C15" w:rsidRPr="00487C15">
              <w:rPr>
                <w:rFonts w:eastAsia="等线"/>
                <w:i/>
                <w:iCs/>
                <w:sz w:val="20"/>
                <w:szCs w:val="20"/>
              </w:rPr>
              <w:t xml:space="preserve"> with value of 0 is supported. </w:t>
            </w:r>
          </w:p>
          <w:p w14:paraId="291D8EBD" w14:textId="77777777" w:rsidR="00487C15" w:rsidRPr="00487C15" w:rsidRDefault="00487C15" w:rsidP="00487C15">
            <w:pPr>
              <w:numPr>
                <w:ilvl w:val="1"/>
                <w:numId w:val="31"/>
              </w:numPr>
              <w:tabs>
                <w:tab w:val="left" w:pos="1134"/>
              </w:tabs>
              <w:jc w:val="both"/>
              <w:rPr>
                <w:rFonts w:eastAsia="等线"/>
                <w:i/>
                <w:iCs/>
                <w:sz w:val="20"/>
                <w:szCs w:val="20"/>
              </w:rPr>
            </w:pPr>
            <w:r w:rsidRPr="00487C15">
              <w:rPr>
                <w:rFonts w:eastAsia="等线"/>
                <w:i/>
                <w:iCs/>
                <w:sz w:val="20"/>
                <w:szCs w:val="20"/>
              </w:rPr>
              <w:t xml:space="preserve">FFS:  details of signaling including granularity.   </w:t>
            </w:r>
          </w:p>
          <w:p w14:paraId="7771D3DD" w14:textId="29158481" w:rsidR="00487C15" w:rsidRPr="005E7D4C" w:rsidRDefault="00000000" w:rsidP="005E7D4C">
            <w:pPr>
              <w:numPr>
                <w:ilvl w:val="0"/>
                <w:numId w:val="31"/>
              </w:numPr>
              <w:tabs>
                <w:tab w:val="left" w:pos="1134"/>
              </w:tabs>
              <w:jc w:val="both"/>
              <w:rPr>
                <w:rFonts w:eastAsia="等线"/>
                <w:sz w:val="20"/>
                <w:szCs w:val="20"/>
              </w:rPr>
            </w:pPr>
            <m:oMath>
              <m:sSub>
                <m:sSubPr>
                  <m:ctrlPr>
                    <w:rPr>
                      <w:rFonts w:ascii="Cambria Math" w:eastAsia="等线" w:hAnsi="Cambria Math"/>
                      <w:b/>
                      <w:bCs/>
                      <w:i/>
                      <w:iCs/>
                      <w:sz w:val="20"/>
                      <w:szCs w:val="20"/>
                    </w:rPr>
                  </m:ctrlPr>
                </m:sSubPr>
                <m:e>
                  <m:r>
                    <m:rPr>
                      <m:sty m:val="bi"/>
                    </m:rPr>
                    <w:rPr>
                      <w:rFonts w:ascii="Cambria Math" w:eastAsia="等线" w:hAnsi="Cambria Math"/>
                      <w:sz w:val="20"/>
                      <w:szCs w:val="20"/>
                      <w:lang w:val="en-GB"/>
                    </w:rPr>
                    <m:t>N</m:t>
                  </m:r>
                </m:e>
                <m:sub>
                  <m:r>
                    <m:rPr>
                      <m:sty m:val="bi"/>
                    </m:rPr>
                    <w:rPr>
                      <w:rFonts w:ascii="Cambria Math" w:eastAsia="等线" w:hAnsi="Cambria Math"/>
                      <w:sz w:val="20"/>
                      <w:szCs w:val="20"/>
                      <w:lang w:val="en-GB"/>
                    </w:rPr>
                    <m:t>TA</m:t>
                  </m:r>
                  <m:r>
                    <m:rPr>
                      <m:sty m:val="bi"/>
                    </m:rPr>
                    <w:rPr>
                      <w:rFonts w:ascii="Cambria Math" w:eastAsia="等线" w:hAnsi="Cambria Math"/>
                      <w:sz w:val="20"/>
                      <w:szCs w:val="20"/>
                    </w:rPr>
                    <m:t>,</m:t>
                  </m:r>
                  <m:r>
                    <m:rPr>
                      <m:sty m:val="bi"/>
                    </m:rPr>
                    <w:rPr>
                      <w:rFonts w:ascii="Cambria Math" w:eastAsia="等线" w:hAnsi="Cambria Math"/>
                      <w:sz w:val="20"/>
                      <w:szCs w:val="20"/>
                      <w:lang w:val="en-GB"/>
                    </w:rPr>
                    <m:t>offset</m:t>
                  </m:r>
                </m:sub>
              </m:sSub>
            </m:oMath>
            <w:r w:rsidR="00487C15" w:rsidRPr="00487C15">
              <w:rPr>
                <w:rFonts w:eastAsia="等线"/>
                <w:i/>
                <w:iCs/>
                <w:sz w:val="20"/>
                <w:szCs w:val="20"/>
              </w:rPr>
              <w:t> is a fixed offset used to calculate the timing advance. </w:t>
            </w:r>
          </w:p>
        </w:tc>
      </w:tr>
    </w:tbl>
    <w:p w14:paraId="7878857B" w14:textId="6E258A01" w:rsidR="001E253B" w:rsidRDefault="001E253B" w:rsidP="003C5A61">
      <w:pPr>
        <w:tabs>
          <w:tab w:val="left" w:pos="1134"/>
        </w:tabs>
        <w:spacing w:before="60"/>
        <w:jc w:val="both"/>
        <w:rPr>
          <w:rFonts w:eastAsia="等线"/>
          <w:sz w:val="20"/>
          <w:szCs w:val="20"/>
        </w:rPr>
      </w:pPr>
      <w:r>
        <w:rPr>
          <w:rFonts w:eastAsia="等线" w:hint="eastAsia"/>
          <w:sz w:val="20"/>
          <w:szCs w:val="20"/>
        </w:rPr>
        <w:t>T</w:t>
      </w:r>
      <w:r>
        <w:rPr>
          <w:rFonts w:eastAsia="等线"/>
          <w:sz w:val="20"/>
          <w:szCs w:val="20"/>
        </w:rPr>
        <w:t xml:space="preserve">herefore, </w:t>
      </w:r>
      <w:r w:rsidR="005E7D4C">
        <w:rPr>
          <w:rFonts w:eastAsia="等线"/>
          <w:sz w:val="20"/>
          <w:szCs w:val="20"/>
        </w:rPr>
        <w:t xml:space="preserve">the </w:t>
      </w:r>
      <w:r w:rsidR="005E7D4C" w:rsidRPr="005E7D4C">
        <w:rPr>
          <w:rFonts w:eastAsia="等线"/>
          <w:sz w:val="20"/>
          <w:szCs w:val="20"/>
        </w:rPr>
        <w:t xml:space="preserve">reference point for the UE initial transmit timing control requirement </w:t>
      </w:r>
      <w:r w:rsidR="00E63CAF">
        <w:rPr>
          <w:rFonts w:eastAsia="等线"/>
          <w:sz w:val="20"/>
          <w:szCs w:val="20"/>
        </w:rPr>
        <w:t>and timing advanced adjustment requirement s</w:t>
      </w:r>
      <w:r w:rsidR="005E7D4C" w:rsidRPr="005E7D4C">
        <w:rPr>
          <w:rFonts w:eastAsia="等线"/>
          <w:sz w:val="20"/>
          <w:szCs w:val="20"/>
        </w:rPr>
        <w:t>hall</w:t>
      </w:r>
      <w:r w:rsidR="005E7D4C">
        <w:rPr>
          <w:rFonts w:eastAsia="等线"/>
          <w:sz w:val="20"/>
          <w:szCs w:val="20"/>
        </w:rPr>
        <w:t xml:space="preserve"> be revised. In addition, the additional error due to GNSS error and satellite position calculation error should be introduced to Te. We think the Te extended value can reuse NTN assumption in each case.</w:t>
      </w:r>
    </w:p>
    <w:p w14:paraId="5E535E4C" w14:textId="5840FEDE" w:rsidR="005E7D4C" w:rsidRDefault="005E7D4C" w:rsidP="005E7D4C">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T</w:t>
      </w:r>
      <w:r w:rsidRPr="005E7D4C">
        <w:rPr>
          <w:rFonts w:eastAsia="等线"/>
          <w:b/>
          <w:bCs/>
          <w:i/>
          <w:iCs/>
          <w:sz w:val="20"/>
          <w:szCs w:val="20"/>
        </w:rPr>
        <w:t>he reference point for the UE initial transmit timing control requirement</w:t>
      </w:r>
      <w:r w:rsidR="00E63CAF" w:rsidRPr="00E63CAF">
        <w:t xml:space="preserve"> </w:t>
      </w:r>
      <w:r w:rsidR="00E63CAF" w:rsidRPr="00E63CAF">
        <w:rPr>
          <w:rFonts w:eastAsia="等线"/>
          <w:b/>
          <w:bCs/>
          <w:i/>
          <w:iCs/>
          <w:sz w:val="20"/>
          <w:szCs w:val="20"/>
        </w:rPr>
        <w:t>and timing advanced adjustment requirement</w:t>
      </w:r>
      <w:r w:rsidRPr="005E7D4C">
        <w:rPr>
          <w:rFonts w:eastAsia="等线"/>
          <w:b/>
          <w:bCs/>
          <w:i/>
          <w:iCs/>
          <w:sz w:val="20"/>
          <w:szCs w:val="20"/>
        </w:rPr>
        <w:t xml:space="preserve"> shall be revised</w:t>
      </w:r>
    </w:p>
    <w:p w14:paraId="6789B8B7" w14:textId="32C1BDE4" w:rsidR="005E7D4C" w:rsidRDefault="005E7D4C" w:rsidP="005E7D4C">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Te should be </w:t>
      </w:r>
      <w:proofErr w:type="gramStart"/>
      <w:r>
        <w:rPr>
          <w:rFonts w:eastAsia="等线"/>
          <w:b/>
          <w:bCs/>
          <w:i/>
          <w:iCs/>
          <w:sz w:val="20"/>
          <w:szCs w:val="20"/>
        </w:rPr>
        <w:t>relaxed,</w:t>
      </w:r>
      <w:proofErr w:type="gramEnd"/>
      <w:r>
        <w:rPr>
          <w:rFonts w:eastAsia="等线"/>
          <w:b/>
          <w:bCs/>
          <w:i/>
          <w:iCs/>
          <w:sz w:val="20"/>
          <w:szCs w:val="20"/>
        </w:rPr>
        <w:t xml:space="preserve"> </w:t>
      </w:r>
      <w:r w:rsidRPr="005E7D4C">
        <w:rPr>
          <w:rFonts w:eastAsia="等线"/>
          <w:b/>
          <w:bCs/>
          <w:i/>
          <w:iCs/>
          <w:sz w:val="20"/>
          <w:szCs w:val="20"/>
        </w:rPr>
        <w:t>the extended value can reuse NTN assumption in each case</w:t>
      </w:r>
    </w:p>
    <w:p w14:paraId="6ACB6703" w14:textId="3ED2464A" w:rsidR="00E63CAF" w:rsidRDefault="00E63CAF" w:rsidP="00E63CAF">
      <w:pPr>
        <w:spacing w:beforeLines="50" w:before="156"/>
        <w:ind w:left="98" w:hangingChars="50" w:hanging="98"/>
        <w:rPr>
          <w:b/>
          <w:sz w:val="20"/>
          <w:szCs w:val="20"/>
          <w:u w:val="single"/>
        </w:rPr>
      </w:pPr>
      <w:r>
        <w:rPr>
          <w:b/>
          <w:sz w:val="20"/>
          <w:szCs w:val="20"/>
          <w:u w:val="single"/>
        </w:rPr>
        <w:t xml:space="preserve">Cell </w:t>
      </w:r>
      <w:proofErr w:type="gramStart"/>
      <w:r>
        <w:rPr>
          <w:b/>
          <w:sz w:val="20"/>
          <w:szCs w:val="20"/>
          <w:u w:val="single"/>
        </w:rPr>
        <w:t>stop</w:t>
      </w:r>
      <w:proofErr w:type="gramEnd"/>
      <w:r>
        <w:rPr>
          <w:b/>
          <w:sz w:val="20"/>
          <w:szCs w:val="20"/>
          <w:u w:val="single"/>
        </w:rPr>
        <w:t xml:space="preserve"> time</w:t>
      </w:r>
      <w:r w:rsidRPr="00E63CAF">
        <w:rPr>
          <w:b/>
          <w:sz w:val="20"/>
          <w:szCs w:val="20"/>
          <w:u w:val="single"/>
        </w:rPr>
        <w:t>-assisted cell reselection</w:t>
      </w:r>
    </w:p>
    <w:p w14:paraId="183BC86A" w14:textId="5AF510BE" w:rsidR="00E63CAF" w:rsidRDefault="00E63CAF" w:rsidP="00E63CAF">
      <w:pPr>
        <w:tabs>
          <w:tab w:val="left" w:pos="1134"/>
        </w:tabs>
        <w:spacing w:before="60"/>
        <w:jc w:val="both"/>
        <w:rPr>
          <w:rFonts w:eastAsia="等线"/>
          <w:sz w:val="20"/>
          <w:szCs w:val="20"/>
        </w:rPr>
      </w:pPr>
      <w:r>
        <w:rPr>
          <w:rFonts w:eastAsia="等线"/>
          <w:sz w:val="20"/>
          <w:szCs w:val="20"/>
        </w:rPr>
        <w:t xml:space="preserve">According to the agreement in RAN2#116-e, </w:t>
      </w:r>
      <w:r w:rsidR="001B6702">
        <w:rPr>
          <w:rFonts w:eastAsia="等线"/>
          <w:sz w:val="20"/>
          <w:szCs w:val="20"/>
        </w:rPr>
        <w:t>c</w:t>
      </w:r>
      <w:r w:rsidRPr="00E63CAF">
        <w:rPr>
          <w:rFonts w:eastAsia="等线"/>
          <w:sz w:val="20"/>
          <w:szCs w:val="20"/>
        </w:rPr>
        <w:t>ell stop time-assisted cell reselection</w:t>
      </w:r>
      <w:r>
        <w:rPr>
          <w:rFonts w:eastAsia="等线"/>
          <w:sz w:val="20"/>
          <w:szCs w:val="20"/>
        </w:rPr>
        <w:t xml:space="preserve"> is supported.</w:t>
      </w:r>
    </w:p>
    <w:tbl>
      <w:tblPr>
        <w:tblStyle w:val="a8"/>
        <w:tblW w:w="0" w:type="auto"/>
        <w:tblLook w:val="04A0" w:firstRow="1" w:lastRow="0" w:firstColumn="1" w:lastColumn="0" w:noHBand="0" w:noVBand="1"/>
      </w:tblPr>
      <w:tblGrid>
        <w:gridCol w:w="9331"/>
      </w:tblGrid>
      <w:tr w:rsidR="00E63CAF" w14:paraId="27CE43B0" w14:textId="77777777" w:rsidTr="00180E30">
        <w:tc>
          <w:tcPr>
            <w:tcW w:w="9331" w:type="dxa"/>
          </w:tcPr>
          <w:p w14:paraId="48845AC1" w14:textId="77777777" w:rsidR="00E63CAF" w:rsidRPr="001E253B" w:rsidRDefault="00E63CAF" w:rsidP="00180E30">
            <w:pPr>
              <w:tabs>
                <w:tab w:val="left" w:pos="1134"/>
              </w:tabs>
              <w:spacing w:before="60"/>
              <w:jc w:val="both"/>
              <w:rPr>
                <w:rFonts w:eastAsia="等线"/>
                <w:i/>
                <w:iCs/>
                <w:sz w:val="20"/>
                <w:szCs w:val="20"/>
              </w:rPr>
            </w:pPr>
            <w:r w:rsidRPr="001E253B">
              <w:rPr>
                <w:rFonts w:eastAsia="等线"/>
                <w:i/>
                <w:iCs/>
                <w:sz w:val="20"/>
                <w:szCs w:val="20"/>
                <w:highlight w:val="green"/>
                <w:lang w:val="en-GB"/>
              </w:rPr>
              <w:t>Agreement:</w:t>
            </w:r>
          </w:p>
          <w:p w14:paraId="54978206" w14:textId="63E2593C" w:rsidR="00A00185" w:rsidRPr="0091091E" w:rsidRDefault="00A00185" w:rsidP="0091091E">
            <w:pPr>
              <w:pStyle w:val="af9"/>
              <w:numPr>
                <w:ilvl w:val="0"/>
                <w:numId w:val="34"/>
              </w:numPr>
              <w:tabs>
                <w:tab w:val="left" w:pos="1134"/>
              </w:tabs>
              <w:ind w:firstLineChars="0"/>
              <w:jc w:val="both"/>
              <w:rPr>
                <w:rFonts w:eastAsia="等线"/>
                <w:i/>
                <w:iCs/>
                <w:sz w:val="20"/>
                <w:szCs w:val="20"/>
                <w:lang w:val="en-GB"/>
              </w:rPr>
            </w:pPr>
            <w:r w:rsidRPr="0091091E">
              <w:rPr>
                <w:rFonts w:eastAsia="等线"/>
                <w:i/>
                <w:iCs/>
                <w:sz w:val="20"/>
                <w:szCs w:val="20"/>
                <w:lang w:val="en-GB"/>
              </w:rPr>
              <w:lastRenderedPageBreak/>
              <w:t xml:space="preserve">For quasi-earth fixed cell, UE should start measurements on neighbour cells before the broadcast stop time of the serving cell, i.e the time when the serving cell stops covering the current area, and the exact time to start measurements (inter and intra-frequency) is up to UE implementation. FFS to what extent this need to be covered in the TS. </w:t>
            </w:r>
          </w:p>
          <w:p w14:paraId="24FCFABE" w14:textId="77777777" w:rsidR="00A00185" w:rsidRPr="0091091E" w:rsidRDefault="00A00185" w:rsidP="0091091E">
            <w:pPr>
              <w:pStyle w:val="af9"/>
              <w:numPr>
                <w:ilvl w:val="0"/>
                <w:numId w:val="34"/>
              </w:numPr>
              <w:tabs>
                <w:tab w:val="left" w:pos="1134"/>
              </w:tabs>
              <w:ind w:firstLineChars="0"/>
              <w:jc w:val="both"/>
              <w:rPr>
                <w:rFonts w:eastAsia="等线"/>
                <w:i/>
                <w:iCs/>
                <w:sz w:val="20"/>
                <w:szCs w:val="20"/>
                <w:lang w:val="en-GB"/>
              </w:rPr>
            </w:pPr>
            <w:r w:rsidRPr="0091091E">
              <w:rPr>
                <w:rFonts w:eastAsia="等线"/>
                <w:i/>
                <w:iCs/>
                <w:sz w:val="20"/>
                <w:szCs w:val="20"/>
                <w:lang w:val="en-GB"/>
              </w:rPr>
              <w:t>The timing information on when a serving cell is going to stop serving the area is broadcast in the same SIB as the ephemeris information.</w:t>
            </w:r>
          </w:p>
          <w:p w14:paraId="7D8651CC" w14:textId="575EFE53" w:rsidR="00A00185" w:rsidRPr="0091091E" w:rsidRDefault="00A00185" w:rsidP="0091091E">
            <w:pPr>
              <w:pStyle w:val="af9"/>
              <w:numPr>
                <w:ilvl w:val="0"/>
                <w:numId w:val="34"/>
              </w:numPr>
              <w:tabs>
                <w:tab w:val="left" w:pos="1134"/>
              </w:tabs>
              <w:ind w:firstLineChars="0"/>
              <w:jc w:val="both"/>
              <w:rPr>
                <w:rFonts w:eastAsia="等线"/>
                <w:i/>
                <w:iCs/>
                <w:sz w:val="20"/>
                <w:szCs w:val="20"/>
                <w:lang w:val="en-GB"/>
              </w:rPr>
            </w:pPr>
            <w:r w:rsidRPr="0091091E">
              <w:rPr>
                <w:rFonts w:eastAsia="等线"/>
                <w:i/>
                <w:iCs/>
                <w:sz w:val="20"/>
                <w:szCs w:val="20"/>
                <w:lang w:val="en-GB"/>
              </w:rPr>
              <w:t>Broadcast of the timing information on when a serving cell is going to stop serving the area is only applicable to quasi earth fixed cell (not to moving cell).</w:t>
            </w:r>
          </w:p>
          <w:p w14:paraId="785674DD" w14:textId="74563248" w:rsidR="00E63CAF" w:rsidRPr="0091091E" w:rsidRDefault="00A00185" w:rsidP="0091091E">
            <w:pPr>
              <w:pStyle w:val="af9"/>
              <w:numPr>
                <w:ilvl w:val="0"/>
                <w:numId w:val="34"/>
              </w:numPr>
              <w:tabs>
                <w:tab w:val="left" w:pos="1134"/>
              </w:tabs>
              <w:ind w:firstLineChars="0"/>
              <w:jc w:val="both"/>
              <w:rPr>
                <w:rFonts w:eastAsia="等线"/>
                <w:i/>
                <w:iCs/>
                <w:sz w:val="20"/>
                <w:szCs w:val="20"/>
                <w:lang w:val="en-GB"/>
              </w:rPr>
            </w:pPr>
            <w:r w:rsidRPr="0091091E">
              <w:rPr>
                <w:rFonts w:eastAsia="等线"/>
                <w:i/>
                <w:iCs/>
                <w:sz w:val="20"/>
                <w:szCs w:val="20"/>
                <w:lang w:val="en-GB"/>
              </w:rPr>
              <w:t xml:space="preserve">Location-assisted cell reselection (e.g. as for NR NTN) is not supported for IoT NTN in rel </w:t>
            </w:r>
            <w:proofErr w:type="gramStart"/>
            <w:r w:rsidRPr="0091091E">
              <w:rPr>
                <w:rFonts w:eastAsia="等线"/>
                <w:i/>
                <w:iCs/>
                <w:sz w:val="20"/>
                <w:szCs w:val="20"/>
                <w:lang w:val="en-GB"/>
              </w:rPr>
              <w:t>17.</w:t>
            </w:r>
            <w:r w:rsidR="00E63CAF" w:rsidRPr="0091091E">
              <w:rPr>
                <w:rFonts w:eastAsia="等线"/>
                <w:i/>
                <w:iCs/>
                <w:sz w:val="20"/>
                <w:szCs w:val="20"/>
                <w:lang w:val="en-GB"/>
              </w:rPr>
              <w:t>The</w:t>
            </w:r>
            <w:proofErr w:type="gramEnd"/>
            <w:r w:rsidR="00E63CAF" w:rsidRPr="0091091E">
              <w:rPr>
                <w:rFonts w:eastAsia="等线"/>
                <w:i/>
                <w:iCs/>
                <w:sz w:val="20"/>
                <w:szCs w:val="20"/>
                <w:lang w:val="en-GB"/>
              </w:rPr>
              <w:t xml:space="preserve"> following agreement from NR NTN are re-used for IoT NTN as working assumption</w:t>
            </w:r>
          </w:p>
        </w:tc>
      </w:tr>
    </w:tbl>
    <w:p w14:paraId="591EE3FD" w14:textId="23D0EB61" w:rsidR="00922696" w:rsidRDefault="00F87A33" w:rsidP="003C5A61">
      <w:pPr>
        <w:tabs>
          <w:tab w:val="left" w:pos="1134"/>
        </w:tabs>
        <w:spacing w:before="60"/>
        <w:jc w:val="both"/>
        <w:rPr>
          <w:rFonts w:eastAsia="等线"/>
          <w:sz w:val="20"/>
          <w:szCs w:val="20"/>
        </w:rPr>
      </w:pPr>
      <w:r>
        <w:rPr>
          <w:rFonts w:eastAsia="等线" w:hint="eastAsia"/>
          <w:sz w:val="20"/>
          <w:szCs w:val="20"/>
        </w:rPr>
        <w:lastRenderedPageBreak/>
        <w:t>S</w:t>
      </w:r>
      <w:r>
        <w:rPr>
          <w:rFonts w:eastAsia="等线"/>
          <w:sz w:val="20"/>
          <w:szCs w:val="20"/>
        </w:rPr>
        <w:t>imilar to NR NTN,</w:t>
      </w:r>
      <w:r w:rsidR="00922696">
        <w:rPr>
          <w:rFonts w:eastAsia="等线"/>
          <w:sz w:val="20"/>
          <w:szCs w:val="20"/>
        </w:rPr>
        <w:t xml:space="preserve"> when the case of</w:t>
      </w:r>
      <w:r w:rsidRPr="00F87A33">
        <w:rPr>
          <w:rFonts w:eastAsia="等线"/>
          <w:sz w:val="20"/>
          <w:szCs w:val="20"/>
        </w:rPr>
        <w:t xml:space="preserve"> </w:t>
      </w:r>
      <w:r w:rsidR="00922696">
        <w:rPr>
          <w:rFonts w:eastAsia="等线"/>
          <w:sz w:val="20"/>
          <w:szCs w:val="20"/>
        </w:rPr>
        <w:t>c</w:t>
      </w:r>
      <w:r w:rsidR="00922696" w:rsidRPr="00922696">
        <w:rPr>
          <w:rFonts w:eastAsia="等线"/>
          <w:sz w:val="20"/>
          <w:szCs w:val="20"/>
        </w:rPr>
        <w:t>ell stop time</w:t>
      </w:r>
      <w:r w:rsidRPr="00F87A33">
        <w:rPr>
          <w:rFonts w:eastAsia="等线"/>
          <w:sz w:val="20"/>
          <w:szCs w:val="20"/>
        </w:rPr>
        <w:t xml:space="preserve"> is broadcasted and applicable, </w:t>
      </w:r>
      <w:r w:rsidR="00922696">
        <w:rPr>
          <w:rFonts w:eastAsia="等线"/>
          <w:sz w:val="20"/>
          <w:szCs w:val="20"/>
        </w:rPr>
        <w:t>the UE cell-reselection behavior and other restrictions should be</w:t>
      </w:r>
      <w:r w:rsidR="001B6702">
        <w:rPr>
          <w:rFonts w:eastAsia="等线"/>
          <w:sz w:val="20"/>
          <w:szCs w:val="20"/>
        </w:rPr>
        <w:t xml:space="preserve"> further</w:t>
      </w:r>
      <w:r w:rsidR="00922696">
        <w:rPr>
          <w:rFonts w:eastAsia="等线"/>
          <w:sz w:val="20"/>
          <w:szCs w:val="20"/>
        </w:rPr>
        <w:t xml:space="preserve"> decided and specified.</w:t>
      </w:r>
    </w:p>
    <w:p w14:paraId="48391AD9" w14:textId="77777777" w:rsidR="00922696" w:rsidRDefault="00922696" w:rsidP="00922696">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4: For cell-reselection requirement, </w:t>
      </w:r>
      <w:r w:rsidRPr="00922696">
        <w:rPr>
          <w:rFonts w:eastAsia="等线"/>
          <w:b/>
          <w:bCs/>
          <w:i/>
          <w:iCs/>
          <w:sz w:val="20"/>
          <w:szCs w:val="20"/>
        </w:rPr>
        <w:t>when the case of cell stop time is broadcasted and applicable, the UE cell-reselection behavior and other restrictions should be decided and specified.</w:t>
      </w:r>
    </w:p>
    <w:p w14:paraId="65C4D859" w14:textId="77777777" w:rsidR="002D59A3" w:rsidRDefault="002D59A3" w:rsidP="002D59A3">
      <w:pPr>
        <w:spacing w:beforeLines="50" w:before="156"/>
        <w:ind w:left="98" w:hangingChars="50" w:hanging="98"/>
        <w:rPr>
          <w:b/>
          <w:sz w:val="20"/>
          <w:szCs w:val="20"/>
          <w:u w:val="single"/>
        </w:rPr>
      </w:pPr>
      <w:r>
        <w:rPr>
          <w:b/>
          <w:sz w:val="20"/>
          <w:szCs w:val="20"/>
          <w:u w:val="single"/>
        </w:rPr>
        <w:t>Unknow cell case in paging reception requirement.</w:t>
      </w:r>
    </w:p>
    <w:p w14:paraId="503685EF" w14:textId="34CF3B5D" w:rsidR="00455EA2" w:rsidRDefault="002D59A3" w:rsidP="002D59A3">
      <w:pPr>
        <w:tabs>
          <w:tab w:val="left" w:pos="1134"/>
        </w:tabs>
        <w:spacing w:before="60"/>
        <w:jc w:val="both"/>
        <w:rPr>
          <w:rFonts w:eastAsia="等线"/>
          <w:sz w:val="20"/>
          <w:szCs w:val="20"/>
        </w:rPr>
      </w:pPr>
      <w:r>
        <w:rPr>
          <w:rFonts w:eastAsia="等线"/>
          <w:sz w:val="20"/>
          <w:szCs w:val="20"/>
        </w:rPr>
        <w:t xml:space="preserve">The unknow cell case is also valid for </w:t>
      </w:r>
      <w:r w:rsidR="00455EA2">
        <w:rPr>
          <w:rFonts w:eastAsia="等线"/>
          <w:sz w:val="20"/>
          <w:szCs w:val="20"/>
        </w:rPr>
        <w:t>IOT-NTN</w:t>
      </w:r>
      <w:r w:rsidR="00BF37EF">
        <w:rPr>
          <w:rFonts w:eastAsia="等线"/>
          <w:sz w:val="20"/>
          <w:szCs w:val="20"/>
        </w:rPr>
        <w:t>, since IOT-NTN can operate in NGSO deployment and the cell stop time-assisted cell reselection approach is introduced</w:t>
      </w:r>
      <w:r w:rsidR="00455EA2">
        <w:rPr>
          <w:rFonts w:eastAsia="等线"/>
          <w:sz w:val="20"/>
          <w:szCs w:val="20"/>
        </w:rPr>
        <w:t>. We think the definition can</w:t>
      </w:r>
      <w:r w:rsidR="00BF37EF">
        <w:rPr>
          <w:rFonts w:eastAsia="等线"/>
          <w:sz w:val="20"/>
          <w:szCs w:val="20"/>
        </w:rPr>
        <w:t xml:space="preserve"> reuse</w:t>
      </w:r>
      <w:r w:rsidR="00455EA2">
        <w:rPr>
          <w:rFonts w:eastAsia="等线"/>
          <w:sz w:val="20"/>
          <w:szCs w:val="20"/>
        </w:rPr>
        <w:t xml:space="preserve"> </w:t>
      </w:r>
      <w:r w:rsidR="00BF37EF">
        <w:rPr>
          <w:rFonts w:eastAsia="等线"/>
          <w:sz w:val="20"/>
          <w:szCs w:val="20"/>
        </w:rPr>
        <w:t>NR NTN’ as follow:</w:t>
      </w:r>
    </w:p>
    <w:tbl>
      <w:tblPr>
        <w:tblStyle w:val="a8"/>
        <w:tblW w:w="0" w:type="auto"/>
        <w:tblLook w:val="04A0" w:firstRow="1" w:lastRow="0" w:firstColumn="1" w:lastColumn="0" w:noHBand="0" w:noVBand="1"/>
      </w:tblPr>
      <w:tblGrid>
        <w:gridCol w:w="9331"/>
      </w:tblGrid>
      <w:tr w:rsidR="00BF37EF" w14:paraId="2F07618D" w14:textId="77777777" w:rsidTr="00BF37EF">
        <w:tc>
          <w:tcPr>
            <w:tcW w:w="9331" w:type="dxa"/>
          </w:tcPr>
          <w:p w14:paraId="5508007B" w14:textId="53566BE3" w:rsidR="00BF37EF" w:rsidRPr="00BF37EF" w:rsidRDefault="00BF37EF" w:rsidP="002D59A3">
            <w:pPr>
              <w:tabs>
                <w:tab w:val="left" w:pos="1134"/>
              </w:tabs>
              <w:spacing w:before="60"/>
              <w:jc w:val="both"/>
              <w:rPr>
                <w:rFonts w:eastAsia="等线"/>
                <w:i/>
                <w:iCs/>
                <w:sz w:val="20"/>
                <w:szCs w:val="20"/>
              </w:rPr>
            </w:pPr>
            <w:r w:rsidRPr="00BF37EF">
              <w:rPr>
                <w:rFonts w:eastAsia="等线"/>
                <w:i/>
                <w:iCs/>
                <w:sz w:val="20"/>
                <w:szCs w:val="20"/>
              </w:rPr>
              <w:t>The target cell is considered as known if it has been detectable during T</w:t>
            </w:r>
            <w:r w:rsidRPr="00BF37EF">
              <w:rPr>
                <w:rFonts w:eastAsia="等线"/>
                <w:i/>
                <w:iCs/>
                <w:sz w:val="20"/>
                <w:szCs w:val="20"/>
                <w:vertAlign w:val="subscript"/>
              </w:rPr>
              <w:t>detect</w:t>
            </w:r>
            <w:r w:rsidRPr="00BF37EF">
              <w:rPr>
                <w:rFonts w:eastAsia="等线"/>
                <w:i/>
                <w:iCs/>
                <w:sz w:val="20"/>
                <w:szCs w:val="20"/>
              </w:rPr>
              <w:t>, and the time span between SIB broadcasting cell stop time and the cell stop time is not less than T</w:t>
            </w:r>
            <w:r w:rsidRPr="00BF37EF">
              <w:rPr>
                <w:rFonts w:eastAsia="等线"/>
                <w:i/>
                <w:iCs/>
                <w:sz w:val="20"/>
                <w:szCs w:val="20"/>
                <w:vertAlign w:val="subscript"/>
              </w:rPr>
              <w:t>trigger</w:t>
            </w:r>
            <w:r w:rsidRPr="00BF37EF">
              <w:rPr>
                <w:rFonts w:eastAsia="等线"/>
                <w:i/>
                <w:iCs/>
                <w:sz w:val="20"/>
                <w:szCs w:val="20"/>
              </w:rPr>
              <w:t>. Otherwise, the cell is considered as unknown</w:t>
            </w:r>
          </w:p>
        </w:tc>
      </w:tr>
    </w:tbl>
    <w:p w14:paraId="1789CD2A" w14:textId="65C775A2" w:rsidR="00455EA2" w:rsidRDefault="00455EA2" w:rsidP="002D59A3">
      <w:pPr>
        <w:tabs>
          <w:tab w:val="left" w:pos="1134"/>
        </w:tabs>
        <w:spacing w:before="60"/>
        <w:jc w:val="both"/>
        <w:rPr>
          <w:rFonts w:eastAsia="等线"/>
          <w:sz w:val="20"/>
          <w:szCs w:val="20"/>
        </w:rPr>
      </w:pPr>
      <w:r w:rsidRPr="00455EA2">
        <w:rPr>
          <w:rFonts w:eastAsia="等线"/>
          <w:sz w:val="20"/>
          <w:szCs w:val="20"/>
        </w:rPr>
        <w:t>The maximum interruption in paging reception</w:t>
      </w:r>
      <w:r>
        <w:rPr>
          <w:rFonts w:eastAsia="等线"/>
          <w:sz w:val="20"/>
          <w:szCs w:val="20"/>
        </w:rPr>
        <w:t xml:space="preserve"> should be </w:t>
      </w:r>
      <w:r w:rsidR="00BF37EF">
        <w:rPr>
          <w:rFonts w:eastAsia="等线"/>
          <w:sz w:val="20"/>
          <w:szCs w:val="20"/>
        </w:rPr>
        <w:t>relaxed</w:t>
      </w:r>
      <w:r>
        <w:rPr>
          <w:rFonts w:eastAsia="等线"/>
          <w:sz w:val="20"/>
          <w:szCs w:val="20"/>
        </w:rPr>
        <w:t xml:space="preserve"> under the unknow cell case. The extended time can reuse NTN’s assumption which is 3</w:t>
      </w:r>
      <w:r w:rsidRPr="00455EA2">
        <w:rPr>
          <w:rFonts w:eastAsia="等线"/>
          <w:sz w:val="20"/>
          <w:szCs w:val="20"/>
        </w:rPr>
        <w:t>T</w:t>
      </w:r>
      <w:r w:rsidRPr="00455EA2">
        <w:rPr>
          <w:rFonts w:eastAsia="等线"/>
          <w:sz w:val="20"/>
          <w:szCs w:val="20"/>
          <w:vertAlign w:val="subscript"/>
        </w:rPr>
        <w:t>target_cell_SMTC_period</w:t>
      </w:r>
      <w:r>
        <w:rPr>
          <w:rFonts w:eastAsia="等线"/>
          <w:sz w:val="20"/>
          <w:szCs w:val="20"/>
        </w:rPr>
        <w:t xml:space="preserve">. </w:t>
      </w:r>
    </w:p>
    <w:p w14:paraId="7090B2C5" w14:textId="1D437642" w:rsidR="000D3D78" w:rsidRDefault="000D3D78" w:rsidP="000D3D78">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Pr>
          <w:rFonts w:eastAsia="等线" w:hint="eastAsia"/>
          <w:b/>
          <w:bCs/>
          <w:i/>
          <w:iCs/>
          <w:sz w:val="20"/>
          <w:szCs w:val="20"/>
        </w:rPr>
        <w:t>5</w:t>
      </w:r>
      <w:r>
        <w:rPr>
          <w:rFonts w:eastAsia="等线"/>
          <w:b/>
          <w:bCs/>
          <w:i/>
          <w:iCs/>
          <w:sz w:val="20"/>
          <w:szCs w:val="20"/>
        </w:rPr>
        <w:t xml:space="preserve">: </w:t>
      </w:r>
      <w:r w:rsidRPr="000D3D78">
        <w:rPr>
          <w:rFonts w:eastAsia="等线"/>
          <w:b/>
          <w:bCs/>
          <w:i/>
          <w:iCs/>
          <w:sz w:val="20"/>
          <w:szCs w:val="20"/>
        </w:rPr>
        <w:t xml:space="preserve">The maximum interruption in paging reception should be relaxed under the unknow cell case. </w:t>
      </w:r>
    </w:p>
    <w:p w14:paraId="3655A960" w14:textId="3559C673" w:rsidR="003F264A" w:rsidRDefault="003A0C34" w:rsidP="003F264A">
      <w:pPr>
        <w:spacing w:beforeLines="50" w:before="156"/>
        <w:ind w:left="98" w:hangingChars="50" w:hanging="98"/>
        <w:rPr>
          <w:b/>
          <w:sz w:val="20"/>
          <w:szCs w:val="20"/>
          <w:u w:val="single"/>
        </w:rPr>
      </w:pPr>
      <w:r>
        <w:rPr>
          <w:b/>
          <w:sz w:val="20"/>
          <w:szCs w:val="20"/>
          <w:u w:val="single"/>
        </w:rPr>
        <w:t>Measurements</w:t>
      </w:r>
      <w:r w:rsidR="00D84183">
        <w:rPr>
          <w:b/>
          <w:sz w:val="20"/>
          <w:szCs w:val="20"/>
          <w:u w:val="single"/>
        </w:rPr>
        <w:t xml:space="preserve"> for eMTC-NTN</w:t>
      </w:r>
    </w:p>
    <w:p w14:paraId="64DCB489" w14:textId="6162C873" w:rsidR="00211119" w:rsidRPr="00211119" w:rsidRDefault="00211119" w:rsidP="00211119">
      <w:pPr>
        <w:tabs>
          <w:tab w:val="left" w:pos="1134"/>
        </w:tabs>
        <w:spacing w:before="60"/>
        <w:jc w:val="both"/>
        <w:rPr>
          <w:rFonts w:eastAsia="等线"/>
          <w:sz w:val="20"/>
          <w:szCs w:val="20"/>
        </w:rPr>
      </w:pPr>
      <w:r>
        <w:rPr>
          <w:rFonts w:eastAsia="等线"/>
          <w:sz w:val="20"/>
          <w:szCs w:val="20"/>
        </w:rPr>
        <w:t xml:space="preserve">For eMTC-NTN, UE is capable of measure on neighboring cells. </w:t>
      </w:r>
      <w:r w:rsidRPr="00211119">
        <w:rPr>
          <w:rFonts w:eastAsia="等线"/>
          <w:sz w:val="20"/>
          <w:szCs w:val="20"/>
        </w:rPr>
        <w:t>For measurements of cells belonging to different satellite as the serving cell and performed outside the MG</w:t>
      </w:r>
      <w:r>
        <w:rPr>
          <w:rFonts w:eastAsia="等线"/>
          <w:sz w:val="20"/>
          <w:szCs w:val="20"/>
        </w:rPr>
        <w:t xml:space="preserve">, if </w:t>
      </w:r>
      <w:r w:rsidRPr="00211119">
        <w:rPr>
          <w:rFonts w:eastAsia="等线"/>
          <w:sz w:val="20"/>
          <w:szCs w:val="20"/>
        </w:rPr>
        <w:t xml:space="preserve">UE </w:t>
      </w:r>
      <w:r>
        <w:rPr>
          <w:rFonts w:eastAsia="等线"/>
          <w:sz w:val="20"/>
          <w:szCs w:val="20"/>
        </w:rPr>
        <w:t>don’t</w:t>
      </w:r>
      <w:r w:rsidRPr="00211119">
        <w:rPr>
          <w:rFonts w:eastAsia="等线"/>
          <w:sz w:val="20"/>
          <w:szCs w:val="20"/>
        </w:rPr>
        <w:t xml:space="preserve"> suppor</w:t>
      </w:r>
      <w:r>
        <w:rPr>
          <w:rFonts w:eastAsia="等线"/>
          <w:sz w:val="20"/>
          <w:szCs w:val="20"/>
        </w:rPr>
        <w:t>t</w:t>
      </w:r>
      <w:r w:rsidRPr="00211119">
        <w:rPr>
          <w:rFonts w:eastAsia="等线"/>
          <w:sz w:val="20"/>
          <w:szCs w:val="20"/>
        </w:rPr>
        <w:t xml:space="preserve"> parallel measurements capability,</w:t>
      </w:r>
      <w:r w:rsidRPr="00211119">
        <w:t xml:space="preserve"> </w:t>
      </w:r>
      <w:r>
        <w:rPr>
          <w:rFonts w:eastAsia="等线"/>
          <w:sz w:val="20"/>
          <w:szCs w:val="20"/>
        </w:rPr>
        <w:t>f</w:t>
      </w:r>
      <w:r w:rsidRPr="00211119">
        <w:rPr>
          <w:rFonts w:eastAsia="等线"/>
          <w:sz w:val="20"/>
          <w:szCs w:val="20"/>
        </w:rPr>
        <w:t xml:space="preserve">or L1 </w:t>
      </w:r>
      <w:r>
        <w:rPr>
          <w:rFonts w:eastAsia="等线"/>
          <w:sz w:val="20"/>
          <w:szCs w:val="20"/>
        </w:rPr>
        <w:t xml:space="preserve">RLM </w:t>
      </w:r>
      <w:r w:rsidRPr="00211119">
        <w:rPr>
          <w:rFonts w:eastAsia="等线"/>
          <w:sz w:val="20"/>
          <w:szCs w:val="20"/>
        </w:rPr>
        <w:t xml:space="preserve">measurements, </w:t>
      </w:r>
      <w:r>
        <w:rPr>
          <w:rFonts w:eastAsia="等线"/>
          <w:sz w:val="20"/>
          <w:szCs w:val="20"/>
        </w:rPr>
        <w:t>a</w:t>
      </w:r>
      <w:r w:rsidRPr="00211119">
        <w:rPr>
          <w:rFonts w:eastAsia="等线"/>
          <w:sz w:val="20"/>
          <w:szCs w:val="20"/>
        </w:rPr>
        <w:t xml:space="preserve"> scaling factor </w:t>
      </w:r>
      <w:r>
        <w:rPr>
          <w:rFonts w:eastAsia="等线"/>
          <w:sz w:val="20"/>
          <w:szCs w:val="20"/>
        </w:rPr>
        <w:t xml:space="preserve">should be used </w:t>
      </w:r>
      <w:r w:rsidRPr="00211119">
        <w:rPr>
          <w:rFonts w:eastAsia="等线"/>
          <w:sz w:val="20"/>
          <w:szCs w:val="20"/>
        </w:rPr>
        <w:t>to account overlapping between L1 resources and SMTC for L3 measurements</w:t>
      </w:r>
      <w:r>
        <w:rPr>
          <w:rFonts w:eastAsia="等线"/>
          <w:sz w:val="20"/>
          <w:szCs w:val="20"/>
        </w:rPr>
        <w:t xml:space="preserve">. </w:t>
      </w:r>
      <w:r w:rsidRPr="00211119">
        <w:rPr>
          <w:rFonts w:eastAsia="等线"/>
          <w:sz w:val="20"/>
          <w:szCs w:val="20"/>
        </w:rPr>
        <w:t xml:space="preserve">For L3 measurements, </w:t>
      </w:r>
      <w:r w:rsidR="002A5B79">
        <w:rPr>
          <w:rFonts w:eastAsia="等线"/>
          <w:sz w:val="20"/>
          <w:szCs w:val="20"/>
        </w:rPr>
        <w:t>a</w:t>
      </w:r>
      <w:r w:rsidRPr="00211119">
        <w:rPr>
          <w:rFonts w:eastAsia="等线"/>
          <w:sz w:val="20"/>
          <w:szCs w:val="20"/>
        </w:rPr>
        <w:t xml:space="preserve"> factor </w:t>
      </w:r>
      <w:r w:rsidR="002A5B79">
        <w:rPr>
          <w:rFonts w:eastAsia="等线"/>
          <w:sz w:val="20"/>
          <w:szCs w:val="20"/>
        </w:rPr>
        <w:t>should be introduced</w:t>
      </w:r>
      <w:r w:rsidRPr="00211119">
        <w:rPr>
          <w:rFonts w:eastAsia="等线"/>
          <w:sz w:val="20"/>
          <w:szCs w:val="20"/>
        </w:rPr>
        <w:t xml:space="preserve"> to account overlapping between the associated SMTC and L1 resources</w:t>
      </w:r>
    </w:p>
    <w:p w14:paraId="6149010F" w14:textId="77777777" w:rsidR="002A5B79" w:rsidRDefault="00211119" w:rsidP="00211119">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6: </w:t>
      </w:r>
      <w:r w:rsidR="002A5B79">
        <w:rPr>
          <w:rFonts w:eastAsia="等线"/>
          <w:b/>
          <w:bCs/>
          <w:i/>
          <w:iCs/>
          <w:sz w:val="20"/>
          <w:szCs w:val="20"/>
        </w:rPr>
        <w:t>For eMTC-NTN, if the</w:t>
      </w:r>
      <w:r w:rsidR="002A5B79" w:rsidRPr="002A5B79">
        <w:t xml:space="preserve"> </w:t>
      </w:r>
      <w:r w:rsidR="002A5B79" w:rsidRPr="002A5B79">
        <w:rPr>
          <w:rFonts w:eastAsia="等线"/>
          <w:b/>
          <w:bCs/>
          <w:i/>
          <w:iCs/>
          <w:sz w:val="20"/>
          <w:szCs w:val="20"/>
        </w:rPr>
        <w:t>measurements of cells belonging to different satellite as the serving cell and performed outside the MG</w:t>
      </w:r>
      <w:r w:rsidR="002A5B79">
        <w:rPr>
          <w:rFonts w:eastAsia="等线"/>
          <w:b/>
          <w:bCs/>
          <w:i/>
          <w:iCs/>
          <w:sz w:val="20"/>
          <w:szCs w:val="20"/>
        </w:rPr>
        <w:t xml:space="preserve">, and </w:t>
      </w:r>
      <w:r w:rsidR="002A5B79" w:rsidRPr="002A5B79">
        <w:rPr>
          <w:rFonts w:eastAsia="等线"/>
          <w:b/>
          <w:bCs/>
          <w:i/>
          <w:iCs/>
          <w:sz w:val="20"/>
          <w:szCs w:val="20"/>
        </w:rPr>
        <w:t>UE don’t support parallel measurements capability</w:t>
      </w:r>
    </w:p>
    <w:p w14:paraId="7869ADB2" w14:textId="77777777" w:rsidR="002A5B79" w:rsidRPr="002A5B79" w:rsidRDefault="002A5B79" w:rsidP="002A5B79">
      <w:pPr>
        <w:pStyle w:val="af9"/>
        <w:numPr>
          <w:ilvl w:val="0"/>
          <w:numId w:val="35"/>
        </w:numPr>
        <w:tabs>
          <w:tab w:val="left" w:pos="1134"/>
        </w:tabs>
        <w:spacing w:before="60"/>
        <w:ind w:firstLineChars="0"/>
        <w:jc w:val="both"/>
        <w:rPr>
          <w:rFonts w:eastAsia="等线"/>
          <w:b/>
          <w:bCs/>
          <w:i/>
          <w:iCs/>
          <w:sz w:val="20"/>
          <w:szCs w:val="20"/>
        </w:rPr>
      </w:pPr>
      <w:r w:rsidRPr="002A5B79">
        <w:rPr>
          <w:rFonts w:eastAsia="等线"/>
          <w:b/>
          <w:bCs/>
          <w:i/>
          <w:iCs/>
          <w:sz w:val="20"/>
          <w:szCs w:val="20"/>
        </w:rPr>
        <w:t xml:space="preserve">For L1 RLM measurements, a scaling factor should be used to account overlapping between L1 resources and SMTC for L3 measurements. </w:t>
      </w:r>
    </w:p>
    <w:p w14:paraId="74568BC5" w14:textId="7C80E8A3" w:rsidR="002A5B79" w:rsidRPr="002A5B79" w:rsidRDefault="002A5B79" w:rsidP="002A5B79">
      <w:pPr>
        <w:pStyle w:val="af9"/>
        <w:numPr>
          <w:ilvl w:val="0"/>
          <w:numId w:val="35"/>
        </w:numPr>
        <w:tabs>
          <w:tab w:val="left" w:pos="1134"/>
        </w:tabs>
        <w:spacing w:before="60"/>
        <w:ind w:firstLineChars="0"/>
        <w:jc w:val="both"/>
        <w:rPr>
          <w:rFonts w:eastAsia="等线"/>
          <w:b/>
          <w:bCs/>
          <w:i/>
          <w:iCs/>
          <w:sz w:val="20"/>
          <w:szCs w:val="20"/>
        </w:rPr>
      </w:pPr>
      <w:r w:rsidRPr="002A5B79">
        <w:rPr>
          <w:rFonts w:eastAsia="等线"/>
          <w:b/>
          <w:bCs/>
          <w:i/>
          <w:iCs/>
          <w:sz w:val="20"/>
          <w:szCs w:val="20"/>
        </w:rPr>
        <w:t>For L3 measurements, a factor should be introduced to account overlapping between the associated SMTC and L1 resources</w:t>
      </w:r>
    </w:p>
    <w:bookmarkEnd w:id="7"/>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196C3E27" w:rsidR="000C3D14" w:rsidRPr="000131DD" w:rsidRDefault="00C639F1" w:rsidP="000131DD">
      <w:pPr>
        <w:spacing w:before="60"/>
        <w:rPr>
          <w:rFonts w:eastAsiaTheme="minorEastAsia"/>
          <w:sz w:val="20"/>
          <w:szCs w:val="20"/>
        </w:rPr>
      </w:pPr>
      <w:r w:rsidRPr="00C639F1">
        <w:rPr>
          <w:sz w:val="20"/>
          <w:szCs w:val="20"/>
        </w:rPr>
        <w:t xml:space="preserve">In this contribution, we </w:t>
      </w:r>
      <w:r w:rsidR="003A0C34">
        <w:rPr>
          <w:sz w:val="20"/>
          <w:szCs w:val="20"/>
        </w:rPr>
        <w:t>identify potential RRM impact</w:t>
      </w:r>
      <w:r w:rsidR="003A0C34" w:rsidRPr="00C639F1">
        <w:rPr>
          <w:sz w:val="20"/>
          <w:szCs w:val="20"/>
        </w:rPr>
        <w:t xml:space="preserve"> </w:t>
      </w:r>
      <w:r w:rsidR="00770639" w:rsidRPr="00770639">
        <w:rPr>
          <w:sz w:val="20"/>
          <w:szCs w:val="20"/>
        </w:rPr>
        <w:t>R17 IOT NTN feature</w:t>
      </w:r>
      <w:r w:rsidR="00770639">
        <w:rPr>
          <w:sz w:val="20"/>
          <w:szCs w:val="20"/>
        </w:rPr>
        <w:t>s</w:t>
      </w:r>
      <w:r w:rsidRPr="00C639F1">
        <w:rPr>
          <w:sz w:val="20"/>
          <w:szCs w:val="20"/>
        </w:rPr>
        <w:t>. The proposals are:</w:t>
      </w:r>
      <w:bookmarkEnd w:id="5"/>
      <w:bookmarkEnd w:id="6"/>
    </w:p>
    <w:p w14:paraId="1BBB5323" w14:textId="77777777" w:rsidR="00770639" w:rsidRDefault="00770639" w:rsidP="00770639">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23678D">
        <w:rPr>
          <w:rFonts w:eastAsia="等线"/>
          <w:b/>
          <w:bCs/>
          <w:i/>
          <w:iCs/>
          <w:sz w:val="20"/>
          <w:szCs w:val="20"/>
        </w:rPr>
        <w:t>TDD related requirements are not applicable to R17 IOT-NTN</w:t>
      </w:r>
      <w:r>
        <w:rPr>
          <w:rFonts w:eastAsia="等线"/>
          <w:b/>
          <w:bCs/>
          <w:i/>
          <w:iCs/>
          <w:sz w:val="20"/>
          <w:szCs w:val="20"/>
        </w:rPr>
        <w:t>.</w:t>
      </w:r>
    </w:p>
    <w:p w14:paraId="7DB6F7DC" w14:textId="77777777" w:rsidR="00770639" w:rsidRDefault="00770639" w:rsidP="00770639">
      <w:pPr>
        <w:tabs>
          <w:tab w:val="left" w:pos="1134"/>
        </w:tabs>
        <w:spacing w:beforeLines="50" w:before="156"/>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 xml:space="preserve">roposal 1: </w:t>
      </w:r>
      <w:r w:rsidRPr="0023678D">
        <w:rPr>
          <w:rFonts w:eastAsia="等线"/>
          <w:b/>
          <w:bCs/>
          <w:i/>
          <w:iCs/>
          <w:sz w:val="20"/>
          <w:szCs w:val="20"/>
        </w:rPr>
        <w:t>TDD related requirements are not applicable to R17 IOT-NTN</w:t>
      </w:r>
      <w:r>
        <w:rPr>
          <w:rFonts w:eastAsia="等线"/>
          <w:b/>
          <w:bCs/>
          <w:i/>
          <w:iCs/>
          <w:sz w:val="20"/>
          <w:szCs w:val="20"/>
        </w:rPr>
        <w:t>.</w:t>
      </w:r>
    </w:p>
    <w:p w14:paraId="61F3AF8F" w14:textId="77777777" w:rsidR="00770639" w:rsidRDefault="00770639" w:rsidP="00770639">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T</w:t>
      </w:r>
      <w:r w:rsidRPr="005E7D4C">
        <w:rPr>
          <w:rFonts w:eastAsia="等线"/>
          <w:b/>
          <w:bCs/>
          <w:i/>
          <w:iCs/>
          <w:sz w:val="20"/>
          <w:szCs w:val="20"/>
        </w:rPr>
        <w:t>he reference point for the UE initial transmit timing control requirement</w:t>
      </w:r>
      <w:r w:rsidRPr="00E63CAF">
        <w:t xml:space="preserve"> </w:t>
      </w:r>
      <w:r w:rsidRPr="00E63CAF">
        <w:rPr>
          <w:rFonts w:eastAsia="等线"/>
          <w:b/>
          <w:bCs/>
          <w:i/>
          <w:iCs/>
          <w:sz w:val="20"/>
          <w:szCs w:val="20"/>
        </w:rPr>
        <w:t>and timing advanced adjustment requirement</w:t>
      </w:r>
      <w:r w:rsidRPr="005E7D4C">
        <w:rPr>
          <w:rFonts w:eastAsia="等线"/>
          <w:b/>
          <w:bCs/>
          <w:i/>
          <w:iCs/>
          <w:sz w:val="20"/>
          <w:szCs w:val="20"/>
        </w:rPr>
        <w:t xml:space="preserve"> shall be revised</w:t>
      </w:r>
    </w:p>
    <w:p w14:paraId="5CA2FDB4" w14:textId="77777777" w:rsidR="00770639" w:rsidRDefault="00770639" w:rsidP="00770639">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Te should be </w:t>
      </w:r>
      <w:proofErr w:type="gramStart"/>
      <w:r>
        <w:rPr>
          <w:rFonts w:eastAsia="等线"/>
          <w:b/>
          <w:bCs/>
          <w:i/>
          <w:iCs/>
          <w:sz w:val="20"/>
          <w:szCs w:val="20"/>
        </w:rPr>
        <w:t>relaxed,</w:t>
      </w:r>
      <w:proofErr w:type="gramEnd"/>
      <w:r>
        <w:rPr>
          <w:rFonts w:eastAsia="等线"/>
          <w:b/>
          <w:bCs/>
          <w:i/>
          <w:iCs/>
          <w:sz w:val="20"/>
          <w:szCs w:val="20"/>
        </w:rPr>
        <w:t xml:space="preserve"> </w:t>
      </w:r>
      <w:r w:rsidRPr="005E7D4C">
        <w:rPr>
          <w:rFonts w:eastAsia="等线"/>
          <w:b/>
          <w:bCs/>
          <w:i/>
          <w:iCs/>
          <w:sz w:val="20"/>
          <w:szCs w:val="20"/>
        </w:rPr>
        <w:t>the extended value can reuse NTN assumption in each case</w:t>
      </w:r>
    </w:p>
    <w:p w14:paraId="0A2C8039" w14:textId="77777777" w:rsidR="00770639" w:rsidRDefault="00770639" w:rsidP="00770639">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4: For cell-reselection requirement, </w:t>
      </w:r>
      <w:r w:rsidRPr="00922696">
        <w:rPr>
          <w:rFonts w:eastAsia="等线"/>
          <w:b/>
          <w:bCs/>
          <w:i/>
          <w:iCs/>
          <w:sz w:val="20"/>
          <w:szCs w:val="20"/>
        </w:rPr>
        <w:t>when the case of cell stop time is broadcasted and applicable, the UE cell-reselection behavior and other restrictions should be decided and specified.</w:t>
      </w:r>
    </w:p>
    <w:p w14:paraId="52A85DA3" w14:textId="77777777" w:rsidR="00770639" w:rsidRDefault="00770639" w:rsidP="00770639">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Pr>
          <w:rFonts w:eastAsia="等线" w:hint="eastAsia"/>
          <w:b/>
          <w:bCs/>
          <w:i/>
          <w:iCs/>
          <w:sz w:val="20"/>
          <w:szCs w:val="20"/>
        </w:rPr>
        <w:t>5</w:t>
      </w:r>
      <w:r>
        <w:rPr>
          <w:rFonts w:eastAsia="等线"/>
          <w:b/>
          <w:bCs/>
          <w:i/>
          <w:iCs/>
          <w:sz w:val="20"/>
          <w:szCs w:val="20"/>
        </w:rPr>
        <w:t xml:space="preserve">: </w:t>
      </w:r>
      <w:r w:rsidRPr="000D3D78">
        <w:rPr>
          <w:rFonts w:eastAsia="等线"/>
          <w:b/>
          <w:bCs/>
          <w:i/>
          <w:iCs/>
          <w:sz w:val="20"/>
          <w:szCs w:val="20"/>
        </w:rPr>
        <w:t xml:space="preserve">The maximum interruption in paging reception should be relaxed under the unknow cell case. </w:t>
      </w:r>
    </w:p>
    <w:p w14:paraId="0171A1D9" w14:textId="77777777" w:rsidR="00770639" w:rsidRDefault="00770639" w:rsidP="00770639">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6: For eMTC-NTN, if the</w:t>
      </w:r>
      <w:r w:rsidRPr="002A5B79">
        <w:t xml:space="preserve"> </w:t>
      </w:r>
      <w:r w:rsidRPr="002A5B79">
        <w:rPr>
          <w:rFonts w:eastAsia="等线"/>
          <w:b/>
          <w:bCs/>
          <w:i/>
          <w:iCs/>
          <w:sz w:val="20"/>
          <w:szCs w:val="20"/>
        </w:rPr>
        <w:t>measurements of cells belonging to different satellite as the serving cell and performed outside the MG</w:t>
      </w:r>
      <w:r>
        <w:rPr>
          <w:rFonts w:eastAsia="等线"/>
          <w:b/>
          <w:bCs/>
          <w:i/>
          <w:iCs/>
          <w:sz w:val="20"/>
          <w:szCs w:val="20"/>
        </w:rPr>
        <w:t xml:space="preserve">, and </w:t>
      </w:r>
      <w:r w:rsidRPr="002A5B79">
        <w:rPr>
          <w:rFonts w:eastAsia="等线"/>
          <w:b/>
          <w:bCs/>
          <w:i/>
          <w:iCs/>
          <w:sz w:val="20"/>
          <w:szCs w:val="20"/>
        </w:rPr>
        <w:t>UE don’t support parallel measurements capability</w:t>
      </w:r>
    </w:p>
    <w:p w14:paraId="7F5AA2A6" w14:textId="77777777" w:rsidR="00770639" w:rsidRPr="002A5B79" w:rsidRDefault="00770639" w:rsidP="00770639">
      <w:pPr>
        <w:pStyle w:val="af9"/>
        <w:numPr>
          <w:ilvl w:val="0"/>
          <w:numId w:val="35"/>
        </w:numPr>
        <w:tabs>
          <w:tab w:val="left" w:pos="1134"/>
        </w:tabs>
        <w:spacing w:before="60"/>
        <w:ind w:firstLineChars="0"/>
        <w:jc w:val="both"/>
        <w:rPr>
          <w:rFonts w:eastAsia="等线"/>
          <w:b/>
          <w:bCs/>
          <w:i/>
          <w:iCs/>
          <w:sz w:val="20"/>
          <w:szCs w:val="20"/>
        </w:rPr>
      </w:pPr>
      <w:r w:rsidRPr="002A5B79">
        <w:rPr>
          <w:rFonts w:eastAsia="等线"/>
          <w:b/>
          <w:bCs/>
          <w:i/>
          <w:iCs/>
          <w:sz w:val="20"/>
          <w:szCs w:val="20"/>
        </w:rPr>
        <w:t xml:space="preserve">For L1 RLM measurements, a scaling factor should be used to account overlapping between L1 resources and SMTC for L3 measurements. </w:t>
      </w:r>
    </w:p>
    <w:p w14:paraId="531EA993" w14:textId="77777777" w:rsidR="00770639" w:rsidRPr="002A5B79" w:rsidRDefault="00770639" w:rsidP="00770639">
      <w:pPr>
        <w:pStyle w:val="af9"/>
        <w:numPr>
          <w:ilvl w:val="0"/>
          <w:numId w:val="35"/>
        </w:numPr>
        <w:tabs>
          <w:tab w:val="left" w:pos="1134"/>
        </w:tabs>
        <w:spacing w:before="60"/>
        <w:ind w:firstLineChars="0"/>
        <w:jc w:val="both"/>
        <w:rPr>
          <w:rFonts w:eastAsia="等线"/>
          <w:b/>
          <w:bCs/>
          <w:i/>
          <w:iCs/>
          <w:sz w:val="20"/>
          <w:szCs w:val="20"/>
        </w:rPr>
      </w:pPr>
      <w:r w:rsidRPr="002A5B79">
        <w:rPr>
          <w:rFonts w:eastAsia="等线"/>
          <w:b/>
          <w:bCs/>
          <w:i/>
          <w:iCs/>
          <w:sz w:val="20"/>
          <w:szCs w:val="20"/>
        </w:rPr>
        <w:t>For L3 measurements, a factor should be introduced to account overlapping between the associated SMTC and L1 resources</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BF67B98" w14:textId="746F1E80" w:rsidR="002513F6" w:rsidRPr="00452485" w:rsidRDefault="001E3FEC">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1] RP-</w:t>
      </w:r>
      <w:r w:rsidR="00FC4FDB" w:rsidRPr="00FC4FDB">
        <w:rPr>
          <w:rFonts w:eastAsiaTheme="minorEastAsia"/>
          <w:sz w:val="20"/>
          <w:szCs w:val="20"/>
          <w:lang w:val="en-GB"/>
        </w:rPr>
        <w:t>220938</w:t>
      </w:r>
      <w:r>
        <w:rPr>
          <w:rFonts w:eastAsiaTheme="minorEastAsia"/>
          <w:sz w:val="20"/>
          <w:szCs w:val="20"/>
          <w:lang w:val="en-GB"/>
        </w:rPr>
        <w:t xml:space="preserve">, </w:t>
      </w:r>
      <w:r w:rsidR="00FC4FDB" w:rsidRPr="00FC4FDB">
        <w:rPr>
          <w:rFonts w:eastAsiaTheme="minorEastAsia"/>
          <w:sz w:val="20"/>
          <w:szCs w:val="20"/>
          <w:lang w:val="en-GB"/>
        </w:rPr>
        <w:t>New WID on NB-IoT/eMTC core &amp; performance requirements for NTN</w:t>
      </w:r>
      <w:r>
        <w:rPr>
          <w:rFonts w:eastAsiaTheme="minorEastAsia"/>
          <w:sz w:val="20"/>
          <w:szCs w:val="20"/>
          <w:lang w:val="en-GB"/>
        </w:rPr>
        <w:t xml:space="preserve">, </w:t>
      </w:r>
      <w:r w:rsidR="00FC4FDB" w:rsidRPr="00FC4FDB">
        <w:rPr>
          <w:rFonts w:eastAsiaTheme="minorEastAsia"/>
          <w:sz w:val="20"/>
          <w:szCs w:val="20"/>
          <w:lang w:val="en-GB"/>
        </w:rPr>
        <w:t>MediaTek Inc.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A589" w14:textId="77777777" w:rsidR="003F3AE9" w:rsidRDefault="003F3AE9" w:rsidP="007854C6">
      <w:r>
        <w:separator/>
      </w:r>
    </w:p>
  </w:endnote>
  <w:endnote w:type="continuationSeparator" w:id="0">
    <w:p w14:paraId="3C145DC4" w14:textId="77777777" w:rsidR="003F3AE9" w:rsidRDefault="003F3AE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F758E" w14:textId="77777777" w:rsidR="003F3AE9" w:rsidRDefault="003F3AE9" w:rsidP="007854C6">
      <w:r>
        <w:separator/>
      </w:r>
    </w:p>
  </w:footnote>
  <w:footnote w:type="continuationSeparator" w:id="0">
    <w:p w14:paraId="1B440663" w14:textId="77777777" w:rsidR="003F3AE9" w:rsidRDefault="003F3AE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0AB5D35"/>
    <w:multiLevelType w:val="hybridMultilevel"/>
    <w:tmpl w:val="2A5C6532"/>
    <w:lvl w:ilvl="0" w:tplc="1CAC7C7C">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EA40C6"/>
    <w:multiLevelType w:val="hybridMultilevel"/>
    <w:tmpl w:val="851882C4"/>
    <w:lvl w:ilvl="0" w:tplc="ED5CA5A8">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8577442"/>
    <w:multiLevelType w:val="hybridMultilevel"/>
    <w:tmpl w:val="9FFE6EF4"/>
    <w:lvl w:ilvl="0" w:tplc="F022F68E">
      <w:start w:val="6"/>
      <w:numFmt w:val="lowerLetter"/>
      <w:lvlText w:val="%1)"/>
      <w:lvlJc w:val="left"/>
      <w:pPr>
        <w:tabs>
          <w:tab w:val="num" w:pos="720"/>
        </w:tabs>
        <w:ind w:left="720" w:hanging="360"/>
      </w:pPr>
    </w:lvl>
    <w:lvl w:ilvl="1" w:tplc="4A12FCCE" w:tentative="1">
      <w:start w:val="1"/>
      <w:numFmt w:val="lowerLetter"/>
      <w:lvlText w:val="%2)"/>
      <w:lvlJc w:val="left"/>
      <w:pPr>
        <w:tabs>
          <w:tab w:val="num" w:pos="1440"/>
        </w:tabs>
        <w:ind w:left="1440" w:hanging="360"/>
      </w:pPr>
    </w:lvl>
    <w:lvl w:ilvl="2" w:tplc="1F461598" w:tentative="1">
      <w:start w:val="1"/>
      <w:numFmt w:val="lowerLetter"/>
      <w:lvlText w:val="%3)"/>
      <w:lvlJc w:val="left"/>
      <w:pPr>
        <w:tabs>
          <w:tab w:val="num" w:pos="2160"/>
        </w:tabs>
        <w:ind w:left="2160" w:hanging="360"/>
      </w:pPr>
    </w:lvl>
    <w:lvl w:ilvl="3" w:tplc="D574847E" w:tentative="1">
      <w:start w:val="1"/>
      <w:numFmt w:val="lowerLetter"/>
      <w:lvlText w:val="%4)"/>
      <w:lvlJc w:val="left"/>
      <w:pPr>
        <w:tabs>
          <w:tab w:val="num" w:pos="2880"/>
        </w:tabs>
        <w:ind w:left="2880" w:hanging="360"/>
      </w:pPr>
    </w:lvl>
    <w:lvl w:ilvl="4" w:tplc="45E60502" w:tentative="1">
      <w:start w:val="1"/>
      <w:numFmt w:val="lowerLetter"/>
      <w:lvlText w:val="%5)"/>
      <w:lvlJc w:val="left"/>
      <w:pPr>
        <w:tabs>
          <w:tab w:val="num" w:pos="3600"/>
        </w:tabs>
        <w:ind w:left="3600" w:hanging="360"/>
      </w:pPr>
    </w:lvl>
    <w:lvl w:ilvl="5" w:tplc="756E6E10" w:tentative="1">
      <w:start w:val="1"/>
      <w:numFmt w:val="lowerLetter"/>
      <w:lvlText w:val="%6)"/>
      <w:lvlJc w:val="left"/>
      <w:pPr>
        <w:tabs>
          <w:tab w:val="num" w:pos="4320"/>
        </w:tabs>
        <w:ind w:left="4320" w:hanging="360"/>
      </w:pPr>
    </w:lvl>
    <w:lvl w:ilvl="6" w:tplc="D750CEA6" w:tentative="1">
      <w:start w:val="1"/>
      <w:numFmt w:val="lowerLetter"/>
      <w:lvlText w:val="%7)"/>
      <w:lvlJc w:val="left"/>
      <w:pPr>
        <w:tabs>
          <w:tab w:val="num" w:pos="5040"/>
        </w:tabs>
        <w:ind w:left="5040" w:hanging="360"/>
      </w:pPr>
    </w:lvl>
    <w:lvl w:ilvl="7" w:tplc="48EE5086" w:tentative="1">
      <w:start w:val="1"/>
      <w:numFmt w:val="lowerLetter"/>
      <w:lvlText w:val="%8)"/>
      <w:lvlJc w:val="left"/>
      <w:pPr>
        <w:tabs>
          <w:tab w:val="num" w:pos="5760"/>
        </w:tabs>
        <w:ind w:left="5760" w:hanging="360"/>
      </w:pPr>
    </w:lvl>
    <w:lvl w:ilvl="8" w:tplc="A9E8C442" w:tentative="1">
      <w:start w:val="1"/>
      <w:numFmt w:val="lowerLetter"/>
      <w:lvlText w:val="%9)"/>
      <w:lvlJc w:val="left"/>
      <w:pPr>
        <w:tabs>
          <w:tab w:val="num" w:pos="6480"/>
        </w:tabs>
        <w:ind w:left="6480" w:hanging="360"/>
      </w:pPr>
    </w:lvl>
  </w:abstractNum>
  <w:abstractNum w:abstractNumId="16"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4C5B38"/>
    <w:multiLevelType w:val="hybridMultilevel"/>
    <w:tmpl w:val="7ECCE228"/>
    <w:lvl w:ilvl="0" w:tplc="96D86D7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4D1693"/>
    <w:multiLevelType w:val="hybridMultilevel"/>
    <w:tmpl w:val="E2A450E6"/>
    <w:lvl w:ilvl="0" w:tplc="ED5CA5A8">
      <w:start w:val="1"/>
      <w:numFmt w:val="bullet"/>
      <w:lvlText w:val="•"/>
      <w:lvlJc w:val="left"/>
      <w:pPr>
        <w:tabs>
          <w:tab w:val="num" w:pos="720"/>
        </w:tabs>
        <w:ind w:left="72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2" w15:restartNumberingAfterBreak="0">
    <w:nsid w:val="57755DB5"/>
    <w:multiLevelType w:val="hybridMultilevel"/>
    <w:tmpl w:val="72F21E5E"/>
    <w:lvl w:ilvl="0" w:tplc="4D24C7E0">
      <w:start w:val="3"/>
      <w:numFmt w:val="lowerLetter"/>
      <w:lvlText w:val="%1)"/>
      <w:lvlJc w:val="left"/>
      <w:pPr>
        <w:tabs>
          <w:tab w:val="num" w:pos="720"/>
        </w:tabs>
        <w:ind w:left="720" w:hanging="360"/>
      </w:pPr>
    </w:lvl>
    <w:lvl w:ilvl="1" w:tplc="51B05BA2" w:tentative="1">
      <w:start w:val="1"/>
      <w:numFmt w:val="lowerLetter"/>
      <w:lvlText w:val="%2)"/>
      <w:lvlJc w:val="left"/>
      <w:pPr>
        <w:tabs>
          <w:tab w:val="num" w:pos="1440"/>
        </w:tabs>
        <w:ind w:left="1440" w:hanging="360"/>
      </w:pPr>
    </w:lvl>
    <w:lvl w:ilvl="2" w:tplc="B95808C2" w:tentative="1">
      <w:start w:val="1"/>
      <w:numFmt w:val="lowerLetter"/>
      <w:lvlText w:val="%3)"/>
      <w:lvlJc w:val="left"/>
      <w:pPr>
        <w:tabs>
          <w:tab w:val="num" w:pos="2160"/>
        </w:tabs>
        <w:ind w:left="2160" w:hanging="360"/>
      </w:pPr>
    </w:lvl>
    <w:lvl w:ilvl="3" w:tplc="72C08E20" w:tentative="1">
      <w:start w:val="1"/>
      <w:numFmt w:val="lowerLetter"/>
      <w:lvlText w:val="%4)"/>
      <w:lvlJc w:val="left"/>
      <w:pPr>
        <w:tabs>
          <w:tab w:val="num" w:pos="2880"/>
        </w:tabs>
        <w:ind w:left="2880" w:hanging="360"/>
      </w:pPr>
    </w:lvl>
    <w:lvl w:ilvl="4" w:tplc="E6782FBE" w:tentative="1">
      <w:start w:val="1"/>
      <w:numFmt w:val="lowerLetter"/>
      <w:lvlText w:val="%5)"/>
      <w:lvlJc w:val="left"/>
      <w:pPr>
        <w:tabs>
          <w:tab w:val="num" w:pos="3600"/>
        </w:tabs>
        <w:ind w:left="3600" w:hanging="360"/>
      </w:pPr>
    </w:lvl>
    <w:lvl w:ilvl="5" w:tplc="11901BEE" w:tentative="1">
      <w:start w:val="1"/>
      <w:numFmt w:val="lowerLetter"/>
      <w:lvlText w:val="%6)"/>
      <w:lvlJc w:val="left"/>
      <w:pPr>
        <w:tabs>
          <w:tab w:val="num" w:pos="4320"/>
        </w:tabs>
        <w:ind w:left="4320" w:hanging="360"/>
      </w:pPr>
    </w:lvl>
    <w:lvl w:ilvl="6" w:tplc="F260F0E2" w:tentative="1">
      <w:start w:val="1"/>
      <w:numFmt w:val="lowerLetter"/>
      <w:lvlText w:val="%7)"/>
      <w:lvlJc w:val="left"/>
      <w:pPr>
        <w:tabs>
          <w:tab w:val="num" w:pos="5040"/>
        </w:tabs>
        <w:ind w:left="5040" w:hanging="360"/>
      </w:pPr>
    </w:lvl>
    <w:lvl w:ilvl="7" w:tplc="9E9C2ECA" w:tentative="1">
      <w:start w:val="1"/>
      <w:numFmt w:val="lowerLetter"/>
      <w:lvlText w:val="%8)"/>
      <w:lvlJc w:val="left"/>
      <w:pPr>
        <w:tabs>
          <w:tab w:val="num" w:pos="5760"/>
        </w:tabs>
        <w:ind w:left="5760" w:hanging="360"/>
      </w:pPr>
    </w:lvl>
    <w:lvl w:ilvl="8" w:tplc="6C92768E" w:tentative="1">
      <w:start w:val="1"/>
      <w:numFmt w:val="lowerLetter"/>
      <w:lvlText w:val="%9)"/>
      <w:lvlJc w:val="left"/>
      <w:pPr>
        <w:tabs>
          <w:tab w:val="num" w:pos="6480"/>
        </w:tabs>
        <w:ind w:left="6480" w:hanging="360"/>
      </w:pPr>
    </w:lvl>
  </w:abstractNum>
  <w:abstractNum w:abstractNumId="23"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58858FB"/>
    <w:multiLevelType w:val="hybridMultilevel"/>
    <w:tmpl w:val="C6F892A4"/>
    <w:lvl w:ilvl="0" w:tplc="0E56407A">
      <w:start w:val="1"/>
      <w:numFmt w:val="bullet"/>
      <w:lvlText w:val="•"/>
      <w:lvlJc w:val="left"/>
      <w:pPr>
        <w:tabs>
          <w:tab w:val="num" w:pos="720"/>
        </w:tabs>
        <w:ind w:left="720" w:hanging="360"/>
      </w:pPr>
      <w:rPr>
        <w:rFonts w:ascii="Arial" w:hAnsi="Arial" w:hint="default"/>
      </w:rPr>
    </w:lvl>
    <w:lvl w:ilvl="1" w:tplc="07A6ECCC">
      <w:numFmt w:val="bullet"/>
      <w:lvlText w:val="•"/>
      <w:lvlJc w:val="left"/>
      <w:pPr>
        <w:tabs>
          <w:tab w:val="num" w:pos="1440"/>
        </w:tabs>
        <w:ind w:left="1440" w:hanging="360"/>
      </w:pPr>
      <w:rPr>
        <w:rFonts w:ascii="Arial" w:hAnsi="Arial" w:hint="default"/>
      </w:rPr>
    </w:lvl>
    <w:lvl w:ilvl="2" w:tplc="F0963C46" w:tentative="1">
      <w:start w:val="1"/>
      <w:numFmt w:val="bullet"/>
      <w:lvlText w:val="•"/>
      <w:lvlJc w:val="left"/>
      <w:pPr>
        <w:tabs>
          <w:tab w:val="num" w:pos="2160"/>
        </w:tabs>
        <w:ind w:left="2160" w:hanging="360"/>
      </w:pPr>
      <w:rPr>
        <w:rFonts w:ascii="Arial" w:hAnsi="Arial" w:hint="default"/>
      </w:rPr>
    </w:lvl>
    <w:lvl w:ilvl="3" w:tplc="A93C152C" w:tentative="1">
      <w:start w:val="1"/>
      <w:numFmt w:val="bullet"/>
      <w:lvlText w:val="•"/>
      <w:lvlJc w:val="left"/>
      <w:pPr>
        <w:tabs>
          <w:tab w:val="num" w:pos="2880"/>
        </w:tabs>
        <w:ind w:left="2880" w:hanging="360"/>
      </w:pPr>
      <w:rPr>
        <w:rFonts w:ascii="Arial" w:hAnsi="Arial" w:hint="default"/>
      </w:rPr>
    </w:lvl>
    <w:lvl w:ilvl="4" w:tplc="91EEDDD6" w:tentative="1">
      <w:start w:val="1"/>
      <w:numFmt w:val="bullet"/>
      <w:lvlText w:val="•"/>
      <w:lvlJc w:val="left"/>
      <w:pPr>
        <w:tabs>
          <w:tab w:val="num" w:pos="3600"/>
        </w:tabs>
        <w:ind w:left="3600" w:hanging="360"/>
      </w:pPr>
      <w:rPr>
        <w:rFonts w:ascii="Arial" w:hAnsi="Arial" w:hint="default"/>
      </w:rPr>
    </w:lvl>
    <w:lvl w:ilvl="5" w:tplc="0CF69D06" w:tentative="1">
      <w:start w:val="1"/>
      <w:numFmt w:val="bullet"/>
      <w:lvlText w:val="•"/>
      <w:lvlJc w:val="left"/>
      <w:pPr>
        <w:tabs>
          <w:tab w:val="num" w:pos="4320"/>
        </w:tabs>
        <w:ind w:left="4320" w:hanging="360"/>
      </w:pPr>
      <w:rPr>
        <w:rFonts w:ascii="Arial" w:hAnsi="Arial" w:hint="default"/>
      </w:rPr>
    </w:lvl>
    <w:lvl w:ilvl="6" w:tplc="81647040" w:tentative="1">
      <w:start w:val="1"/>
      <w:numFmt w:val="bullet"/>
      <w:lvlText w:val="•"/>
      <w:lvlJc w:val="left"/>
      <w:pPr>
        <w:tabs>
          <w:tab w:val="num" w:pos="5040"/>
        </w:tabs>
        <w:ind w:left="5040" w:hanging="360"/>
      </w:pPr>
      <w:rPr>
        <w:rFonts w:ascii="Arial" w:hAnsi="Arial" w:hint="default"/>
      </w:rPr>
    </w:lvl>
    <w:lvl w:ilvl="7" w:tplc="A9769F2A" w:tentative="1">
      <w:start w:val="1"/>
      <w:numFmt w:val="bullet"/>
      <w:lvlText w:val="•"/>
      <w:lvlJc w:val="left"/>
      <w:pPr>
        <w:tabs>
          <w:tab w:val="num" w:pos="5760"/>
        </w:tabs>
        <w:ind w:left="5760" w:hanging="360"/>
      </w:pPr>
      <w:rPr>
        <w:rFonts w:ascii="Arial" w:hAnsi="Arial" w:hint="default"/>
      </w:rPr>
    </w:lvl>
    <w:lvl w:ilvl="8" w:tplc="98E05E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940C78"/>
    <w:multiLevelType w:val="hybridMultilevel"/>
    <w:tmpl w:val="27263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0084156">
    <w:abstractNumId w:val="30"/>
  </w:num>
  <w:num w:numId="2" w16cid:durableId="59251948">
    <w:abstractNumId w:val="7"/>
  </w:num>
  <w:num w:numId="3" w16cid:durableId="1386415883">
    <w:abstractNumId w:val="29"/>
  </w:num>
  <w:num w:numId="4" w16cid:durableId="1946764940">
    <w:abstractNumId w:val="5"/>
  </w:num>
  <w:num w:numId="5" w16cid:durableId="1962222061">
    <w:abstractNumId w:val="2"/>
  </w:num>
  <w:num w:numId="6" w16cid:durableId="2089571436">
    <w:abstractNumId w:val="24"/>
  </w:num>
  <w:num w:numId="7" w16cid:durableId="1666976905">
    <w:abstractNumId w:val="4"/>
  </w:num>
  <w:num w:numId="8" w16cid:durableId="1612778158">
    <w:abstractNumId w:val="9"/>
  </w:num>
  <w:num w:numId="9" w16cid:durableId="1809590769">
    <w:abstractNumId w:val="16"/>
  </w:num>
  <w:num w:numId="10" w16cid:durableId="403842428">
    <w:abstractNumId w:val="23"/>
  </w:num>
  <w:num w:numId="11" w16cid:durableId="2077123355">
    <w:abstractNumId w:val="28"/>
  </w:num>
  <w:num w:numId="12" w16cid:durableId="1024398939">
    <w:abstractNumId w:val="6"/>
  </w:num>
  <w:num w:numId="13" w16cid:durableId="1100487939">
    <w:abstractNumId w:val="32"/>
  </w:num>
  <w:num w:numId="14" w16cid:durableId="790169304">
    <w:abstractNumId w:val="6"/>
  </w:num>
  <w:num w:numId="15" w16cid:durableId="617176348">
    <w:abstractNumId w:val="20"/>
  </w:num>
  <w:num w:numId="16" w16cid:durableId="1489977031">
    <w:abstractNumId w:val="25"/>
  </w:num>
  <w:num w:numId="17" w16cid:durableId="823158494">
    <w:abstractNumId w:val="31"/>
  </w:num>
  <w:num w:numId="18" w16cid:durableId="1486507799">
    <w:abstractNumId w:val="0"/>
  </w:num>
  <w:num w:numId="19" w16cid:durableId="480000344">
    <w:abstractNumId w:val="3"/>
  </w:num>
  <w:num w:numId="20" w16cid:durableId="828716043">
    <w:abstractNumId w:val="13"/>
  </w:num>
  <w:num w:numId="21" w16cid:durableId="175578520">
    <w:abstractNumId w:val="33"/>
  </w:num>
  <w:num w:numId="22" w16cid:durableId="567375564">
    <w:abstractNumId w:val="19"/>
  </w:num>
  <w:num w:numId="23" w16cid:durableId="1913546319">
    <w:abstractNumId w:val="14"/>
  </w:num>
  <w:num w:numId="24" w16cid:durableId="1378432407">
    <w:abstractNumId w:val="11"/>
  </w:num>
  <w:num w:numId="25" w16cid:durableId="837497795">
    <w:abstractNumId w:val="1"/>
  </w:num>
  <w:num w:numId="26" w16cid:durableId="1918123795">
    <w:abstractNumId w:val="8"/>
  </w:num>
  <w:num w:numId="27" w16cid:durableId="1969389141">
    <w:abstractNumId w:val="21"/>
  </w:num>
  <w:num w:numId="28" w16cid:durableId="397751007">
    <w:abstractNumId w:val="15"/>
  </w:num>
  <w:num w:numId="29" w16cid:durableId="271741660">
    <w:abstractNumId w:val="10"/>
  </w:num>
  <w:num w:numId="30" w16cid:durableId="1547914568">
    <w:abstractNumId w:val="22"/>
  </w:num>
  <w:num w:numId="31" w16cid:durableId="239875533">
    <w:abstractNumId w:val="26"/>
  </w:num>
  <w:num w:numId="32" w16cid:durableId="1908806048">
    <w:abstractNumId w:val="17"/>
  </w:num>
  <w:num w:numId="33" w16cid:durableId="124588969">
    <w:abstractNumId w:val="27"/>
  </w:num>
  <w:num w:numId="34" w16cid:durableId="1017149112">
    <w:abstractNumId w:val="12"/>
  </w:num>
  <w:num w:numId="35" w16cid:durableId="76022291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53B"/>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34"/>
    <w:rsid w:val="003A0CEA"/>
    <w:rsid w:val="003A1253"/>
    <w:rsid w:val="003A1AC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47A"/>
    <w:rsid w:val="003F0641"/>
    <w:rsid w:val="003F065B"/>
    <w:rsid w:val="003F1813"/>
    <w:rsid w:val="003F204F"/>
    <w:rsid w:val="003F2256"/>
    <w:rsid w:val="003F2313"/>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87C15"/>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5BA6"/>
    <w:rsid w:val="006A5DC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1303"/>
    <w:rsid w:val="00DD16AC"/>
    <w:rsid w:val="00DD1D82"/>
    <w:rsid w:val="00DD2767"/>
    <w:rsid w:val="00DD378A"/>
    <w:rsid w:val="00DD3F9C"/>
    <w:rsid w:val="00DD435B"/>
    <w:rsid w:val="00DD4A69"/>
    <w:rsid w:val="00DD4AC4"/>
    <w:rsid w:val="00DD4EC2"/>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D0"/>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432C"/>
    <w:rsid w:val="00F84C9B"/>
    <w:rsid w:val="00F85EE0"/>
    <w:rsid w:val="00F864E9"/>
    <w:rsid w:val="00F87A33"/>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4FDB"/>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639"/>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2138139698">
          <w:marLeft w:val="547"/>
          <w:marRight w:val="0"/>
          <w:marTop w:val="0"/>
          <w:marBottom w:val="0"/>
          <w:divBdr>
            <w:top w:val="none" w:sz="0" w:space="0" w:color="auto"/>
            <w:left w:val="none" w:sz="0" w:space="0" w:color="auto"/>
            <w:bottom w:val="none" w:sz="0" w:space="0" w:color="auto"/>
            <w:right w:val="none" w:sz="0" w:space="0" w:color="auto"/>
          </w:divBdr>
        </w:div>
        <w:div w:id="435099715">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810630701">
          <w:marLeft w:val="1886"/>
          <w:marRight w:val="0"/>
          <w:marTop w:val="0"/>
          <w:marBottom w:val="120"/>
          <w:divBdr>
            <w:top w:val="none" w:sz="0" w:space="0" w:color="auto"/>
            <w:left w:val="none" w:sz="0" w:space="0" w:color="auto"/>
            <w:bottom w:val="none" w:sz="0" w:space="0" w:color="auto"/>
            <w:right w:val="none" w:sz="0" w:space="0" w:color="auto"/>
          </w:divBdr>
        </w:div>
        <w:div w:id="1337266638">
          <w:marLeft w:val="260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1915774717">
          <w:marLeft w:val="1886"/>
          <w:marRight w:val="0"/>
          <w:marTop w:val="0"/>
          <w:marBottom w:val="120"/>
          <w:divBdr>
            <w:top w:val="none" w:sz="0" w:space="0" w:color="auto"/>
            <w:left w:val="none" w:sz="0" w:space="0" w:color="auto"/>
            <w:bottom w:val="none" w:sz="0" w:space="0" w:color="auto"/>
            <w:right w:val="none" w:sz="0" w:space="0" w:color="auto"/>
          </w:divBdr>
        </w:div>
        <w:div w:id="662976387">
          <w:marLeft w:val="260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4892</TotalTime>
  <Pages>4</Pages>
  <Words>1378</Words>
  <Characters>7855</Characters>
  <Application>Microsoft Office Word</Application>
  <DocSecurity>0</DocSecurity>
  <Lines>65</Lines>
  <Paragraphs>18</Paragraphs>
  <ScaleCrop>false</ScaleCrop>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363</cp:revision>
  <dcterms:created xsi:type="dcterms:W3CDTF">2021-03-10T03:22:00Z</dcterms:created>
  <dcterms:modified xsi:type="dcterms:W3CDTF">2022-08-10T15:35:00Z</dcterms:modified>
</cp:coreProperties>
</file>